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5A86" w14:textId="16564EE4" w:rsidR="00A304F2" w:rsidRPr="00136ED3" w:rsidRDefault="00A304F2" w:rsidP="003E6FBB">
      <w:pPr>
        <w:widowControl w:val="0"/>
        <w:autoSpaceDE w:val="0"/>
        <w:autoSpaceDN w:val="0"/>
        <w:adjustRightInd w:val="0"/>
        <w:spacing w:after="0" w:line="240" w:lineRule="auto"/>
        <w:ind w:right="30"/>
        <w:jc w:val="center"/>
        <w:rPr>
          <w:rFonts w:ascii="Arial" w:hAnsi="Arial" w:cs="Arial"/>
          <w:b/>
          <w:sz w:val="24"/>
          <w:szCs w:val="24"/>
        </w:rPr>
      </w:pPr>
      <w:r w:rsidRPr="00136ED3">
        <w:rPr>
          <w:rFonts w:ascii="Arial" w:hAnsi="Arial" w:cs="Arial"/>
          <w:b/>
          <w:sz w:val="24"/>
          <w:szCs w:val="24"/>
        </w:rPr>
        <w:t>Sample Letter of Medical Necessity</w:t>
      </w:r>
      <w:r w:rsidR="003A3662" w:rsidRPr="00136ED3">
        <w:rPr>
          <w:rFonts w:ascii="Arial" w:hAnsi="Arial" w:cs="Arial"/>
          <w:b/>
          <w:sz w:val="24"/>
          <w:szCs w:val="24"/>
        </w:rPr>
        <w:t>*</w:t>
      </w:r>
    </w:p>
    <w:p w14:paraId="42B5BD84" w14:textId="31157A38" w:rsidR="00D868F1" w:rsidRPr="00136ED3" w:rsidRDefault="65C55BDB" w:rsidP="00D868F1">
      <w:pPr>
        <w:autoSpaceDE w:val="0"/>
        <w:autoSpaceDN w:val="0"/>
        <w:jc w:val="center"/>
        <w:rPr>
          <w:rFonts w:ascii="Arial" w:hAnsi="Arial" w:cs="Arial"/>
          <w:sz w:val="16"/>
          <w:szCs w:val="16"/>
        </w:rPr>
      </w:pPr>
      <w:r w:rsidRPr="1C2B9B9B">
        <w:rPr>
          <w:rFonts w:ascii="Arial" w:hAnsi="Arial" w:cs="Arial"/>
          <w:sz w:val="16"/>
          <w:szCs w:val="16"/>
        </w:rPr>
        <w:t>(*</w:t>
      </w:r>
      <w:r w:rsidR="2896E346" w:rsidRPr="1C2B9B9B">
        <w:rPr>
          <w:rFonts w:ascii="Arial" w:hAnsi="Arial" w:cs="Arial"/>
          <w:sz w:val="16"/>
          <w:szCs w:val="16"/>
        </w:rPr>
        <w:t>This template is intended only as an example. It should be customized with patient-specific details and any other information deemed necessary, then printed on your letterhead prior to submission to the pay</w:t>
      </w:r>
      <w:r w:rsidR="4BF3A465" w:rsidRPr="1C2B9B9B">
        <w:rPr>
          <w:rFonts w:ascii="Arial" w:hAnsi="Arial" w:cs="Arial"/>
          <w:sz w:val="16"/>
          <w:szCs w:val="16"/>
        </w:rPr>
        <w:t>er</w:t>
      </w:r>
      <w:r w:rsidR="2896E346" w:rsidRPr="1C2B9B9B">
        <w:rPr>
          <w:rFonts w:ascii="Arial" w:hAnsi="Arial" w:cs="Arial"/>
          <w:sz w:val="16"/>
          <w:szCs w:val="16"/>
        </w:rPr>
        <w:t>.</w:t>
      </w:r>
      <w:r w:rsidR="00517692">
        <w:rPr>
          <w:rFonts w:ascii="Arial" w:hAnsi="Arial" w:cs="Arial"/>
          <w:sz w:val="16"/>
          <w:szCs w:val="16"/>
        </w:rPr>
        <w:t xml:space="preserve"> I</w:t>
      </w:r>
      <w:r w:rsidR="00517692" w:rsidRPr="00517692">
        <w:rPr>
          <w:rFonts w:ascii="Arial" w:hAnsi="Arial" w:cs="Arial"/>
          <w:sz w:val="16"/>
          <w:szCs w:val="16"/>
        </w:rPr>
        <w:t>t is up to you as the provider to make all determinations as to the needs of the patient</w:t>
      </w:r>
      <w:r w:rsidR="00517692">
        <w:rPr>
          <w:rFonts w:ascii="Arial" w:hAnsi="Arial" w:cs="Arial"/>
          <w:sz w:val="16"/>
          <w:szCs w:val="16"/>
        </w:rPr>
        <w:t>.</w:t>
      </w:r>
      <w:r w:rsidR="2896E346" w:rsidRPr="1C2B9B9B">
        <w:rPr>
          <w:rFonts w:ascii="Arial" w:hAnsi="Arial" w:cs="Arial"/>
          <w:sz w:val="16"/>
          <w:szCs w:val="16"/>
        </w:rPr>
        <w:t>)</w:t>
      </w:r>
    </w:p>
    <w:p w14:paraId="2CE0343A" w14:textId="77777777" w:rsidR="009A7D6E" w:rsidRPr="00136ED3" w:rsidRDefault="00A304F2" w:rsidP="00D868F1">
      <w:pPr>
        <w:pStyle w:val="BOLDTEXT"/>
        <w:spacing w:before="60"/>
        <w:rPr>
          <w:b w:val="0"/>
          <w:bCs w:val="0"/>
          <w:color w:val="auto"/>
          <w:szCs w:val="20"/>
        </w:rPr>
      </w:pPr>
      <w:r w:rsidRPr="00136ED3">
        <w:rPr>
          <w:b w:val="0"/>
          <w:bCs w:val="0"/>
          <w:color w:val="auto"/>
          <w:szCs w:val="20"/>
        </w:rPr>
        <w:t>[Insert physician letterhead]</w:t>
      </w:r>
      <w:r w:rsidR="006129DC" w:rsidRPr="00136ED3">
        <w:rPr>
          <w:b w:val="0"/>
          <w:bCs w:val="0"/>
          <w:noProof/>
          <w:color w:val="auto"/>
          <w:szCs w:val="20"/>
        </w:rPr>
        <w:t xml:space="preserve"> </w:t>
      </w:r>
    </w:p>
    <w:p w14:paraId="304053F0" w14:textId="77777777" w:rsidR="009A7D6E" w:rsidRPr="00136ED3" w:rsidRDefault="009A7D6E" w:rsidP="003E6FBB">
      <w:pPr>
        <w:pStyle w:val="TEXT"/>
        <w:tabs>
          <w:tab w:val="left" w:pos="5310"/>
          <w:tab w:val="left" w:pos="5760"/>
          <w:tab w:val="right" w:pos="9605"/>
        </w:tabs>
        <w:spacing w:before="60"/>
      </w:pPr>
    </w:p>
    <w:p w14:paraId="33C1F6CE" w14:textId="77777777" w:rsidR="0060356F" w:rsidRPr="00136ED3" w:rsidRDefault="0060356F" w:rsidP="003E6FBB">
      <w:pPr>
        <w:pStyle w:val="TEXT"/>
        <w:tabs>
          <w:tab w:val="left" w:pos="5310"/>
          <w:tab w:val="left" w:pos="5760"/>
          <w:tab w:val="right" w:pos="9605"/>
        </w:tabs>
        <w:spacing w:before="60"/>
        <w:rPr>
          <w:b/>
          <w:bCs/>
        </w:rPr>
        <w:sectPr w:rsidR="0060356F" w:rsidRPr="00136ED3" w:rsidSect="00885038">
          <w:footerReference w:type="default" r:id="rId10"/>
          <w:type w:val="continuous"/>
          <w:pgSz w:w="12240" w:h="15840"/>
          <w:pgMar w:top="1008" w:right="1008" w:bottom="720" w:left="1080" w:header="475" w:footer="475" w:gutter="0"/>
          <w:cols w:space="720"/>
          <w:noEndnote/>
          <w:docGrid w:linePitch="299"/>
        </w:sectPr>
      </w:pPr>
    </w:p>
    <w:p w14:paraId="169D50AC" w14:textId="08A14A98" w:rsidR="0028307E" w:rsidRPr="00136ED3" w:rsidRDefault="0028307E" w:rsidP="0002164A">
      <w:pPr>
        <w:pStyle w:val="NoSpacing"/>
        <w:rPr>
          <w:rFonts w:ascii="Arial" w:hAnsi="Arial" w:cs="Arial"/>
          <w:sz w:val="20"/>
          <w:szCs w:val="20"/>
        </w:rPr>
      </w:pPr>
      <w:r w:rsidRPr="00136ED3">
        <w:rPr>
          <w:rFonts w:ascii="Arial" w:hAnsi="Arial" w:cs="Arial"/>
          <w:sz w:val="20"/>
          <w:szCs w:val="20"/>
        </w:rPr>
        <w:t>[</w:t>
      </w:r>
      <w:r w:rsidR="00B14569" w:rsidRPr="00136ED3">
        <w:rPr>
          <w:rFonts w:ascii="Arial" w:hAnsi="Arial" w:cs="Arial"/>
          <w:sz w:val="20"/>
          <w:szCs w:val="20"/>
        </w:rPr>
        <w:t xml:space="preserve">Insert </w:t>
      </w:r>
      <w:r w:rsidRPr="00136ED3">
        <w:rPr>
          <w:rFonts w:ascii="Arial" w:hAnsi="Arial" w:cs="Arial"/>
          <w:sz w:val="20"/>
          <w:szCs w:val="20"/>
        </w:rPr>
        <w:t>Date]</w:t>
      </w:r>
    </w:p>
    <w:p w14:paraId="48FFBD15" w14:textId="6DCDD250" w:rsidR="00A304F2" w:rsidRPr="00136ED3" w:rsidRDefault="009A7D6E" w:rsidP="0002164A">
      <w:pPr>
        <w:pStyle w:val="NoSpacing"/>
        <w:rPr>
          <w:rFonts w:ascii="Arial" w:hAnsi="Arial" w:cs="Arial"/>
          <w:sz w:val="20"/>
          <w:szCs w:val="20"/>
        </w:rPr>
      </w:pPr>
      <w:r w:rsidRPr="00136ED3">
        <w:rPr>
          <w:rFonts w:ascii="Arial" w:hAnsi="Arial" w:cs="Arial"/>
          <w:sz w:val="20"/>
          <w:szCs w:val="20"/>
        </w:rPr>
        <w:t>[</w:t>
      </w:r>
      <w:r w:rsidR="0060356F" w:rsidRPr="00136ED3">
        <w:rPr>
          <w:rFonts w:ascii="Arial" w:hAnsi="Arial" w:cs="Arial"/>
          <w:sz w:val="20"/>
          <w:szCs w:val="20"/>
        </w:rPr>
        <w:t>Insert Payer Name</w:t>
      </w:r>
      <w:r w:rsidR="00A304F2" w:rsidRPr="00136ED3">
        <w:rPr>
          <w:rFonts w:ascii="Arial" w:hAnsi="Arial" w:cs="Arial"/>
          <w:sz w:val="20"/>
          <w:szCs w:val="20"/>
        </w:rPr>
        <w:t>]</w:t>
      </w:r>
      <w:r w:rsidR="0060356F" w:rsidRPr="00136ED3">
        <w:rPr>
          <w:rFonts w:ascii="Arial" w:hAnsi="Arial" w:cs="Arial"/>
          <w:sz w:val="20"/>
          <w:szCs w:val="20"/>
        </w:rPr>
        <w:br/>
      </w:r>
      <w:r w:rsidR="00A304F2" w:rsidRPr="00136ED3">
        <w:rPr>
          <w:rFonts w:ascii="Arial" w:hAnsi="Arial" w:cs="Arial"/>
          <w:sz w:val="20"/>
          <w:szCs w:val="20"/>
        </w:rPr>
        <w:t>[</w:t>
      </w:r>
      <w:r w:rsidR="0060356F" w:rsidRPr="00136ED3">
        <w:rPr>
          <w:rFonts w:ascii="Arial" w:hAnsi="Arial" w:cs="Arial"/>
          <w:sz w:val="20"/>
          <w:szCs w:val="20"/>
        </w:rPr>
        <w:t>Insert Address</w:t>
      </w:r>
      <w:r w:rsidR="00A304F2" w:rsidRPr="00136ED3">
        <w:rPr>
          <w:rFonts w:ascii="Arial" w:hAnsi="Arial" w:cs="Arial"/>
          <w:sz w:val="20"/>
          <w:szCs w:val="20"/>
        </w:rPr>
        <w:t>]</w:t>
      </w:r>
      <w:r w:rsidR="0060356F" w:rsidRPr="00136ED3">
        <w:rPr>
          <w:rFonts w:ascii="Arial" w:hAnsi="Arial" w:cs="Arial"/>
          <w:sz w:val="20"/>
          <w:szCs w:val="20"/>
        </w:rPr>
        <w:br/>
      </w:r>
      <w:r w:rsidR="00A304F2" w:rsidRPr="00136ED3">
        <w:rPr>
          <w:rFonts w:ascii="Arial" w:hAnsi="Arial" w:cs="Arial"/>
          <w:sz w:val="20"/>
          <w:szCs w:val="20"/>
        </w:rPr>
        <w:t>[</w:t>
      </w:r>
      <w:r w:rsidR="0060356F" w:rsidRPr="00136ED3">
        <w:rPr>
          <w:rFonts w:ascii="Arial" w:hAnsi="Arial" w:cs="Arial"/>
          <w:sz w:val="20"/>
          <w:szCs w:val="20"/>
        </w:rPr>
        <w:t xml:space="preserve">Insert </w:t>
      </w:r>
      <w:r w:rsidR="00A304F2" w:rsidRPr="00136ED3">
        <w:rPr>
          <w:rFonts w:ascii="Arial" w:hAnsi="Arial" w:cs="Arial"/>
          <w:sz w:val="20"/>
          <w:szCs w:val="20"/>
        </w:rPr>
        <w:t>City, State, ZIP]</w:t>
      </w:r>
    </w:p>
    <w:p w14:paraId="6611FD71" w14:textId="0C0A3F07" w:rsidR="0060356F" w:rsidRPr="00136ED3" w:rsidRDefault="0028307E" w:rsidP="0002164A">
      <w:pPr>
        <w:pStyle w:val="NoSpacing"/>
        <w:rPr>
          <w:rFonts w:ascii="Arial" w:hAnsi="Arial" w:cs="Arial"/>
          <w:sz w:val="20"/>
          <w:szCs w:val="20"/>
        </w:rPr>
      </w:pPr>
      <w:r w:rsidRPr="00136ED3">
        <w:rPr>
          <w:rFonts w:ascii="Arial" w:hAnsi="Arial" w:cs="Arial"/>
          <w:sz w:val="20"/>
          <w:szCs w:val="20"/>
        </w:rPr>
        <w:t>[</w:t>
      </w:r>
      <w:r w:rsidR="0060356F" w:rsidRPr="00136ED3">
        <w:rPr>
          <w:rFonts w:ascii="Arial" w:hAnsi="Arial" w:cs="Arial"/>
          <w:sz w:val="20"/>
          <w:szCs w:val="20"/>
        </w:rPr>
        <w:t xml:space="preserve">Insert </w:t>
      </w:r>
      <w:r w:rsidRPr="00136ED3">
        <w:rPr>
          <w:rFonts w:ascii="Arial" w:hAnsi="Arial" w:cs="Arial"/>
          <w:sz w:val="20"/>
          <w:szCs w:val="20"/>
        </w:rPr>
        <w:t>Fax]</w:t>
      </w:r>
    </w:p>
    <w:p w14:paraId="4CA1F68A" w14:textId="77777777" w:rsidR="0002164A" w:rsidRPr="00136ED3" w:rsidRDefault="0002164A" w:rsidP="0002164A">
      <w:pPr>
        <w:pStyle w:val="NoSpacing"/>
        <w:rPr>
          <w:rFonts w:ascii="Arial" w:hAnsi="Arial" w:cs="Arial"/>
          <w:b/>
          <w:bCs/>
          <w:sz w:val="20"/>
          <w:szCs w:val="20"/>
        </w:rPr>
      </w:pPr>
    </w:p>
    <w:p w14:paraId="29347DDD" w14:textId="32E38CC2" w:rsidR="0002164A" w:rsidRPr="00136ED3" w:rsidRDefault="0002164A" w:rsidP="0002164A">
      <w:pPr>
        <w:pStyle w:val="NoSpacing"/>
        <w:rPr>
          <w:rFonts w:ascii="Arial" w:hAnsi="Arial" w:cs="Arial"/>
          <w:sz w:val="20"/>
          <w:szCs w:val="20"/>
        </w:rPr>
      </w:pPr>
      <w:r w:rsidRPr="00136ED3">
        <w:rPr>
          <w:rFonts w:ascii="Arial" w:hAnsi="Arial" w:cs="Arial"/>
          <w:b/>
          <w:bCs/>
          <w:sz w:val="20"/>
          <w:szCs w:val="20"/>
        </w:rPr>
        <w:t xml:space="preserve">Re: </w:t>
      </w:r>
      <w:r w:rsidR="0060356F" w:rsidRPr="00136ED3">
        <w:rPr>
          <w:rFonts w:ascii="Arial" w:hAnsi="Arial" w:cs="Arial"/>
          <w:b/>
          <w:bCs/>
          <w:sz w:val="20"/>
          <w:szCs w:val="20"/>
        </w:rPr>
        <w:t>Patient Name:</w:t>
      </w:r>
      <w:r w:rsidR="0060356F" w:rsidRPr="00136ED3">
        <w:rPr>
          <w:rFonts w:ascii="Arial" w:hAnsi="Arial" w:cs="Arial"/>
          <w:sz w:val="20"/>
          <w:szCs w:val="20"/>
        </w:rPr>
        <w:t xml:space="preserve"> [Insert Name]</w:t>
      </w:r>
    </w:p>
    <w:p w14:paraId="6D5C556A" w14:textId="76891B8A" w:rsidR="0002164A" w:rsidRPr="00136ED3" w:rsidRDefault="0002164A" w:rsidP="0002164A">
      <w:pPr>
        <w:pStyle w:val="NoSpacing"/>
        <w:rPr>
          <w:rFonts w:ascii="Arial" w:hAnsi="Arial" w:cs="Arial"/>
          <w:sz w:val="20"/>
          <w:szCs w:val="20"/>
        </w:rPr>
      </w:pPr>
      <w:r w:rsidRPr="00136ED3">
        <w:rPr>
          <w:rFonts w:ascii="Arial" w:hAnsi="Arial" w:cs="Arial"/>
          <w:b/>
          <w:bCs/>
          <w:sz w:val="20"/>
          <w:szCs w:val="20"/>
        </w:rPr>
        <w:t xml:space="preserve">       Patient Date of Birth:</w:t>
      </w:r>
      <w:r w:rsidRPr="00136ED3">
        <w:rPr>
          <w:rFonts w:ascii="Arial" w:hAnsi="Arial" w:cs="Arial"/>
          <w:sz w:val="20"/>
          <w:szCs w:val="20"/>
        </w:rPr>
        <w:t xml:space="preserve"> [XX/YY/ZZZZ]</w:t>
      </w:r>
    </w:p>
    <w:p w14:paraId="0264A48C" w14:textId="77777777" w:rsidR="0002164A" w:rsidRPr="00136ED3" w:rsidRDefault="0002164A" w:rsidP="0002164A">
      <w:pPr>
        <w:pStyle w:val="NoSpacing"/>
        <w:rPr>
          <w:rFonts w:ascii="Arial" w:hAnsi="Arial" w:cs="Arial"/>
          <w:b/>
          <w:bCs/>
          <w:sz w:val="20"/>
          <w:szCs w:val="20"/>
        </w:rPr>
      </w:pPr>
    </w:p>
    <w:p w14:paraId="58E4794A" w14:textId="1AFD5890" w:rsidR="0002164A" w:rsidRPr="00136ED3" w:rsidRDefault="0002164A" w:rsidP="0002164A">
      <w:pPr>
        <w:pStyle w:val="NoSpacing"/>
        <w:rPr>
          <w:rFonts w:ascii="Arial" w:hAnsi="Arial" w:cs="Arial"/>
          <w:b/>
          <w:bCs/>
          <w:sz w:val="20"/>
          <w:szCs w:val="20"/>
        </w:rPr>
      </w:pPr>
      <w:r w:rsidRPr="00136ED3">
        <w:rPr>
          <w:rFonts w:ascii="Arial" w:hAnsi="Arial" w:cs="Arial"/>
          <w:b/>
          <w:bCs/>
          <w:sz w:val="20"/>
          <w:szCs w:val="20"/>
        </w:rPr>
        <w:t xml:space="preserve">       </w:t>
      </w:r>
      <w:r w:rsidR="0060356F" w:rsidRPr="00136ED3">
        <w:rPr>
          <w:rFonts w:ascii="Arial" w:hAnsi="Arial" w:cs="Arial"/>
          <w:b/>
          <w:bCs/>
          <w:sz w:val="20"/>
          <w:szCs w:val="20"/>
        </w:rPr>
        <w:t xml:space="preserve">Member Number: </w:t>
      </w:r>
      <w:r w:rsidR="0060356F" w:rsidRPr="00136ED3">
        <w:rPr>
          <w:rFonts w:ascii="Arial" w:hAnsi="Arial" w:cs="Arial"/>
          <w:sz w:val="20"/>
          <w:szCs w:val="20"/>
        </w:rPr>
        <w:t>[Insert Member Number]</w:t>
      </w:r>
    </w:p>
    <w:p w14:paraId="0FDEFDEC" w14:textId="34ABE44F" w:rsidR="0002164A" w:rsidRPr="00136ED3" w:rsidRDefault="0002164A" w:rsidP="0002164A">
      <w:pPr>
        <w:pStyle w:val="NoSpacing"/>
        <w:rPr>
          <w:rFonts w:ascii="Arial" w:hAnsi="Arial" w:cs="Arial"/>
          <w:b/>
          <w:bCs/>
          <w:sz w:val="20"/>
          <w:szCs w:val="20"/>
        </w:rPr>
      </w:pPr>
      <w:r w:rsidRPr="00136ED3">
        <w:rPr>
          <w:rFonts w:ascii="Arial" w:hAnsi="Arial" w:cs="Arial"/>
          <w:b/>
          <w:bCs/>
          <w:sz w:val="20"/>
          <w:szCs w:val="20"/>
        </w:rPr>
        <w:t xml:space="preserve">       </w:t>
      </w:r>
      <w:r w:rsidR="0060356F" w:rsidRPr="00136ED3">
        <w:rPr>
          <w:rFonts w:ascii="Arial" w:hAnsi="Arial" w:cs="Arial"/>
          <w:b/>
          <w:bCs/>
          <w:sz w:val="20"/>
          <w:szCs w:val="20"/>
        </w:rPr>
        <w:t xml:space="preserve">Group Number: </w:t>
      </w:r>
      <w:r w:rsidR="0060356F" w:rsidRPr="00136ED3">
        <w:rPr>
          <w:rFonts w:ascii="Arial" w:hAnsi="Arial" w:cs="Arial"/>
          <w:sz w:val="20"/>
          <w:szCs w:val="20"/>
        </w:rPr>
        <w:t>[Insert Group Number</w:t>
      </w:r>
      <w:r w:rsidRPr="00136ED3">
        <w:rPr>
          <w:rFonts w:ascii="Arial" w:hAnsi="Arial" w:cs="Arial"/>
          <w:sz w:val="20"/>
          <w:szCs w:val="20"/>
        </w:rPr>
        <w:t>]</w:t>
      </w:r>
      <w:r w:rsidRPr="00136ED3">
        <w:rPr>
          <w:rFonts w:ascii="Arial" w:hAnsi="Arial" w:cs="Arial"/>
          <w:b/>
          <w:bCs/>
          <w:sz w:val="20"/>
          <w:szCs w:val="20"/>
        </w:rPr>
        <w:t xml:space="preserve"> </w:t>
      </w:r>
    </w:p>
    <w:p w14:paraId="33261268" w14:textId="49215311" w:rsidR="0002164A" w:rsidRPr="00136ED3" w:rsidRDefault="0002164A" w:rsidP="0002164A">
      <w:pPr>
        <w:pStyle w:val="NoSpacing"/>
        <w:rPr>
          <w:rFonts w:ascii="Arial" w:hAnsi="Arial" w:cs="Arial"/>
          <w:b/>
          <w:bCs/>
          <w:sz w:val="20"/>
          <w:szCs w:val="20"/>
        </w:rPr>
        <w:sectPr w:rsidR="0002164A" w:rsidRPr="00136ED3" w:rsidSect="0060356F">
          <w:type w:val="continuous"/>
          <w:pgSz w:w="12240" w:h="15840"/>
          <w:pgMar w:top="1008" w:right="1008" w:bottom="720" w:left="1080" w:header="475" w:footer="475" w:gutter="0"/>
          <w:cols w:num="2" w:space="720"/>
          <w:noEndnote/>
          <w:docGrid w:linePitch="299"/>
        </w:sectPr>
      </w:pPr>
      <w:r w:rsidRPr="00136ED3">
        <w:rPr>
          <w:rFonts w:ascii="Arial" w:hAnsi="Arial" w:cs="Arial"/>
          <w:b/>
          <w:bCs/>
          <w:sz w:val="20"/>
          <w:szCs w:val="20"/>
        </w:rPr>
        <w:t xml:space="preserve">       Claim Number</w:t>
      </w:r>
      <w:r w:rsidRPr="00136ED3">
        <w:rPr>
          <w:rFonts w:ascii="Arial" w:hAnsi="Arial" w:cs="Arial"/>
          <w:sz w:val="20"/>
          <w:szCs w:val="20"/>
        </w:rPr>
        <w:t>: [Insert Claim Number]</w:t>
      </w:r>
      <w:r w:rsidRPr="00136ED3">
        <w:rPr>
          <w:rFonts w:ascii="Arial" w:hAnsi="Arial" w:cs="Arial"/>
          <w:sz w:val="20"/>
          <w:szCs w:val="20"/>
        </w:rPr>
        <w:br/>
      </w:r>
    </w:p>
    <w:p w14:paraId="1605A865" w14:textId="0C1BCC72" w:rsidR="00A304F2" w:rsidRPr="00136ED3" w:rsidRDefault="00B14569" w:rsidP="001775AD">
      <w:pPr>
        <w:pStyle w:val="TEXT"/>
        <w:spacing w:before="240"/>
      </w:pPr>
      <w:r w:rsidRPr="00136ED3">
        <w:rPr>
          <w:noProof/>
        </w:rPr>
        <mc:AlternateContent>
          <mc:Choice Requires="wps">
            <w:drawing>
              <wp:inline distT="0" distB="0" distL="0" distR="0" wp14:anchorId="0C86E0A5" wp14:editId="2E37EC21">
                <wp:extent cx="6375400" cy="71755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717550"/>
                        </a:xfrm>
                        <a:prstGeom prst="rect">
                          <a:avLst/>
                        </a:prstGeom>
                        <a:solidFill>
                          <a:srgbClr val="FFFFFF"/>
                        </a:solidFill>
                        <a:ln w="9525">
                          <a:solidFill>
                            <a:srgbClr val="000000"/>
                          </a:solidFill>
                          <a:miter lim="800000"/>
                          <a:headEnd/>
                          <a:tailEnd/>
                        </a:ln>
                      </wps:spPr>
                      <wps:txbx>
                        <w:txbxContent>
                          <w:p w14:paraId="1FE95821" w14:textId="067EAB51" w:rsidR="00B14569" w:rsidRDefault="00B14569" w:rsidP="00B14569">
                            <w:r w:rsidRPr="00B14569">
                              <w:rPr>
                                <w:b/>
                                <w:bCs/>
                              </w:rPr>
                              <w:t>REQUEST:</w:t>
                            </w:r>
                            <w:r>
                              <w:t xml:space="preserve"> Authorization for treatment </w:t>
                            </w:r>
                            <w:r w:rsidR="00C72E12">
                              <w:t xml:space="preserve">with </w:t>
                            </w:r>
                            <w:r w:rsidR="00C244C6">
                              <w:t>J</w:t>
                            </w:r>
                            <w:r w:rsidR="0092158F">
                              <w:t>UBLIA</w:t>
                            </w:r>
                            <w:r w:rsidR="00C244C6">
                              <w:rPr>
                                <w:rFonts w:cs="Calibri"/>
                              </w:rPr>
                              <w:t>®</w:t>
                            </w:r>
                            <w:r w:rsidR="0040486A" w:rsidRPr="00C72E12">
                              <w:rPr>
                                <w:sz w:val="20"/>
                                <w:szCs w:val="20"/>
                              </w:rPr>
                              <w:t>(</w:t>
                            </w:r>
                            <w:r w:rsidR="00C244C6">
                              <w:rPr>
                                <w:sz w:val="20"/>
                                <w:szCs w:val="20"/>
                              </w:rPr>
                              <w:t>efinaconazole</w:t>
                            </w:r>
                            <w:r w:rsidR="0040486A" w:rsidRPr="00C72E12">
                              <w:rPr>
                                <w:sz w:val="20"/>
                                <w:szCs w:val="20"/>
                              </w:rPr>
                              <w:t>)</w:t>
                            </w:r>
                            <w:r>
                              <w:br/>
                            </w:r>
                            <w:r w:rsidRPr="00B14569">
                              <w:rPr>
                                <w:b/>
                                <w:bCs/>
                              </w:rPr>
                              <w:t>DIAGNOSIS:</w:t>
                            </w:r>
                            <w:r>
                              <w:t xml:space="preserve"> </w:t>
                            </w:r>
                            <w:r w:rsidR="00D1773F">
                              <w:t>[In</w:t>
                            </w:r>
                            <w:r w:rsidR="004458D3">
                              <w:t>sert Diagnosis] [Insert ICD]</w:t>
                            </w:r>
                            <w:r>
                              <w:br/>
                            </w:r>
                            <w:r w:rsidRPr="00B14569">
                              <w:rPr>
                                <w:b/>
                                <w:bCs/>
                              </w:rPr>
                              <w:t>REQUEST TYPE:</w:t>
                            </w:r>
                            <w:r w:rsidR="003B237A">
                              <w:t xml:space="preserve"> </w:t>
                            </w:r>
                            <w:r>
                              <w:t xml:space="preserve">Standard </w:t>
                            </w:r>
                            <w:r w:rsidR="003B237A" w:rsidRPr="003B237A">
                              <w:rPr>
                                <w:rFonts w:asciiTheme="minorHAnsi" w:hAnsiTheme="minorHAnsi" w:cstheme="minorHAnsi"/>
                              </w:rPr>
                              <w:t>Review</w:t>
                            </w:r>
                          </w:p>
                        </w:txbxContent>
                      </wps:txbx>
                      <wps:bodyPr rot="0" vert="horz" wrap="square" lIns="91440" tIns="45720" rIns="91440" bIns="45720" anchor="t" anchorCtr="0">
                        <a:noAutofit/>
                      </wps:bodyPr>
                    </wps:wsp>
                  </a:graphicData>
                </a:graphic>
              </wp:inline>
            </w:drawing>
          </mc:Choice>
          <mc:Fallback>
            <w:pict>
              <v:shapetype w14:anchorId="0C86E0A5" id="_x0000_t202" coordsize="21600,21600" o:spt="202" path="m,l,21600r21600,l21600,xe">
                <v:stroke joinstyle="miter"/>
                <v:path gradientshapeok="t" o:connecttype="rect"/>
              </v:shapetype>
              <v:shape id="Text Box 2" o:spid="_x0000_s1026" type="#_x0000_t202" style="width:502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">
                <v:textbox>
                  <w:txbxContent>
                    <w:p w14:paraId="1FE95821" w14:textId="067EAB51" w:rsidR="00B14569" w:rsidRDefault="00B14569" w:rsidP="00B14569">
                      <w:r w:rsidRPr="00B14569">
                        <w:rPr>
                          <w:b/>
                          <w:bCs/>
                        </w:rPr>
                        <w:t>REQUEST:</w:t>
                      </w:r>
                      <w:r>
                        <w:t xml:space="preserve"> Authorization for treatment </w:t>
                      </w:r>
                      <w:r w:rsidR="00C72E12">
                        <w:t xml:space="preserve">with </w:t>
                      </w:r>
                      <w:r w:rsidR="00C244C6">
                        <w:t>J</w:t>
                      </w:r>
                      <w:r w:rsidR="0092158F">
                        <w:t>UBLIA</w:t>
                      </w:r>
                      <w:r w:rsidR="00C244C6">
                        <w:rPr>
                          <w:rFonts w:cs="Calibri"/>
                        </w:rPr>
                        <w:t>®</w:t>
                      </w:r>
                      <w:r w:rsidR="0040486A" w:rsidRPr="00C72E12">
                        <w:rPr>
                          <w:sz w:val="20"/>
                          <w:szCs w:val="20"/>
                        </w:rPr>
                        <w:t>(</w:t>
                      </w:r>
                      <w:r w:rsidR="00C244C6">
                        <w:rPr>
                          <w:sz w:val="20"/>
                          <w:szCs w:val="20"/>
                        </w:rPr>
                        <w:t>efinaconazole</w:t>
                      </w:r>
                      <w:r w:rsidR="0040486A" w:rsidRPr="00C72E12">
                        <w:rPr>
                          <w:sz w:val="20"/>
                          <w:szCs w:val="20"/>
                        </w:rPr>
                        <w:t>)</w:t>
                      </w:r>
                      <w:r>
                        <w:br/>
                      </w:r>
                      <w:r w:rsidRPr="00B14569">
                        <w:rPr>
                          <w:b/>
                          <w:bCs/>
                        </w:rPr>
                        <w:t>DIAGNOSIS:</w:t>
                      </w:r>
                      <w:r>
                        <w:t xml:space="preserve"> </w:t>
                      </w:r>
                      <w:r w:rsidR="00D1773F">
                        <w:t>[In</w:t>
                      </w:r>
                      <w:r w:rsidR="004458D3">
                        <w:t>sert Diagnosis] [Insert ICD]</w:t>
                      </w:r>
                      <w:r>
                        <w:br/>
                      </w:r>
                      <w:r w:rsidRPr="00B14569">
                        <w:rPr>
                          <w:b/>
                          <w:bCs/>
                        </w:rPr>
                        <w:t>REQUEST TYPE:</w:t>
                      </w:r>
                      <w:r w:rsidR="003B237A">
                        <w:t xml:space="preserve"> </w:t>
                      </w:r>
                      <w:r>
                        <w:t xml:space="preserve">Standard </w:t>
                      </w:r>
                      <w:r w:rsidR="003B237A" w:rsidRPr="003B237A">
                        <w:rPr>
                          <w:rFonts w:asciiTheme="minorHAnsi" w:hAnsiTheme="minorHAnsi" w:cstheme="minorHAnsi"/>
                        </w:rPr>
                        <w:t>Review</w:t>
                      </w:r>
                    </w:p>
                  </w:txbxContent>
                </v:textbox>
                <w10:anchorlock/>
              </v:shape>
            </w:pict>
          </mc:Fallback>
        </mc:AlternateContent>
      </w:r>
      <w:r w:rsidRPr="00136ED3">
        <w:br/>
      </w:r>
    </w:p>
    <w:p w14:paraId="55885CBC" w14:textId="2128EF2B" w:rsidR="005946E5" w:rsidRDefault="005946E5" w:rsidP="00FD2AD8">
      <w:pPr>
        <w:pStyle w:val="TEXT"/>
        <w:spacing w:before="240"/>
      </w:pPr>
      <w:r>
        <w:t>Dear [Insert Medical Director’s Name or Individual Responsible for Prior Authorization]</w:t>
      </w:r>
    </w:p>
    <w:p w14:paraId="73C3D10C" w14:textId="4E66B707" w:rsidR="00DA77BF" w:rsidRPr="00136ED3" w:rsidRDefault="00EF3128" w:rsidP="00FD2AD8">
      <w:pPr>
        <w:pStyle w:val="TEXT"/>
        <w:spacing w:before="240"/>
      </w:pPr>
      <w:r w:rsidRPr="00136ED3">
        <w:t xml:space="preserve">I </w:t>
      </w:r>
      <w:r w:rsidR="0028307E" w:rsidRPr="00136ED3">
        <w:t xml:space="preserve">have reviewed and recognize your guidelines of the responsible management of medications. </w:t>
      </w:r>
      <w:r w:rsidRPr="00136ED3">
        <w:t xml:space="preserve">I </w:t>
      </w:r>
      <w:r w:rsidR="0028307E" w:rsidRPr="00136ED3">
        <w:t xml:space="preserve">understand that your reason of denial </w:t>
      </w:r>
      <w:r w:rsidR="00903F30">
        <w:t>of</w:t>
      </w:r>
      <w:r w:rsidR="008954EF" w:rsidRPr="008954EF">
        <w:t xml:space="preserve"> </w:t>
      </w:r>
      <w:r w:rsidR="00C244C6">
        <w:t>J</w:t>
      </w:r>
      <w:r w:rsidR="00DE5BD0">
        <w:t>UBLIA</w:t>
      </w:r>
      <w:r w:rsidR="008954EF" w:rsidRPr="001D7581">
        <w:rPr>
          <w:vertAlign w:val="superscript"/>
        </w:rPr>
        <w:t>®</w:t>
      </w:r>
      <w:r w:rsidR="00C244C6">
        <w:rPr>
          <w:vertAlign w:val="superscript"/>
        </w:rPr>
        <w:t xml:space="preserve"> </w:t>
      </w:r>
      <w:r w:rsidR="00903F30" w:rsidRPr="00C72E12">
        <w:t>(</w:t>
      </w:r>
      <w:r w:rsidR="00C244C6">
        <w:t>efinaconazole</w:t>
      </w:r>
      <w:r w:rsidR="00903F30" w:rsidRPr="00C72E12">
        <w:t>)</w:t>
      </w:r>
      <w:r w:rsidR="00903F30">
        <w:t xml:space="preserve"> </w:t>
      </w:r>
      <w:r w:rsidR="0028307E" w:rsidRPr="00136ED3">
        <w:t>is (</w:t>
      </w:r>
      <w:r w:rsidR="0028307E" w:rsidRPr="00136ED3">
        <w:rPr>
          <w:b/>
          <w:bCs/>
        </w:rPr>
        <w:t xml:space="preserve">insert the reason for denial </w:t>
      </w:r>
      <w:r w:rsidR="00FD2AD8" w:rsidRPr="00136ED3">
        <w:rPr>
          <w:b/>
          <w:bCs/>
        </w:rPr>
        <w:t>verbatim</w:t>
      </w:r>
      <w:r w:rsidR="0028307E" w:rsidRPr="00136ED3">
        <w:rPr>
          <w:b/>
          <w:bCs/>
        </w:rPr>
        <w:t xml:space="preserve"> from the denial letter</w:t>
      </w:r>
      <w:r w:rsidR="0028307E" w:rsidRPr="00136ED3">
        <w:t>)</w:t>
      </w:r>
      <w:r w:rsidR="00FD2AD8" w:rsidRPr="00136ED3">
        <w:t xml:space="preserve">. </w:t>
      </w:r>
      <w:r w:rsidRPr="00136ED3">
        <w:t xml:space="preserve">I am </w:t>
      </w:r>
      <w:r w:rsidR="00FD2AD8" w:rsidRPr="00136ED3">
        <w:t>requesting that you reassess your recent denial of coverage based on the following</w:t>
      </w:r>
      <w:r w:rsidR="00221008" w:rsidRPr="00136ED3">
        <w:t xml:space="preserve">: </w:t>
      </w:r>
    </w:p>
    <w:p w14:paraId="6402B0CC" w14:textId="56E2E9CE" w:rsidR="0002164A" w:rsidRPr="00136ED3" w:rsidRDefault="00221008" w:rsidP="00221008">
      <w:pPr>
        <w:pStyle w:val="TEXT"/>
        <w:spacing w:before="240"/>
      </w:pPr>
      <w:r w:rsidRPr="00136ED3">
        <w:rPr>
          <w:b/>
          <w:bCs/>
        </w:rPr>
        <w:t>Summary of Patient’s Diagnosis:</w:t>
      </w:r>
      <w:r w:rsidR="0002164A" w:rsidRPr="00136ED3">
        <w:rPr>
          <w:b/>
          <w:bCs/>
        </w:rPr>
        <w:br/>
      </w:r>
      <w:r w:rsidR="0002164A" w:rsidRPr="00136ED3">
        <w:t>[Insert:</w:t>
      </w:r>
    </w:p>
    <w:p w14:paraId="18C6714C" w14:textId="77777777" w:rsidR="00AE6D0C" w:rsidRPr="006C7702" w:rsidRDefault="00E924BE" w:rsidP="001F4DD1">
      <w:pPr>
        <w:pStyle w:val="NoSpacing"/>
        <w:numPr>
          <w:ilvl w:val="0"/>
          <w:numId w:val="9"/>
        </w:numPr>
        <w:rPr>
          <w:rFonts w:ascii="Arial" w:hAnsi="Arial" w:cs="Arial"/>
          <w:sz w:val="20"/>
          <w:szCs w:val="20"/>
          <w:lang w:val="fr-FR"/>
        </w:rPr>
      </w:pPr>
      <w:proofErr w:type="spellStart"/>
      <w:r w:rsidRPr="006C7702">
        <w:rPr>
          <w:rFonts w:ascii="Arial" w:hAnsi="Arial" w:cs="Arial"/>
          <w:sz w:val="20"/>
          <w:szCs w:val="20"/>
          <w:lang w:val="fr-FR"/>
        </w:rPr>
        <w:t>Patient’s</w:t>
      </w:r>
      <w:proofErr w:type="spellEnd"/>
      <w:r w:rsidR="00221008" w:rsidRPr="006C7702">
        <w:rPr>
          <w:rFonts w:ascii="Arial" w:hAnsi="Arial" w:cs="Arial"/>
          <w:sz w:val="20"/>
          <w:szCs w:val="20"/>
          <w:lang w:val="fr-FR"/>
        </w:rPr>
        <w:t xml:space="preserve"> </w:t>
      </w:r>
      <w:proofErr w:type="spellStart"/>
      <w:r w:rsidRPr="006C7702">
        <w:rPr>
          <w:rFonts w:ascii="Arial" w:hAnsi="Arial" w:cs="Arial"/>
          <w:sz w:val="20"/>
          <w:szCs w:val="20"/>
          <w:lang w:val="fr-FR"/>
        </w:rPr>
        <w:t>diagnosis</w:t>
      </w:r>
      <w:proofErr w:type="spellEnd"/>
      <w:r w:rsidR="002D08F3" w:rsidRPr="006C7702">
        <w:rPr>
          <w:rFonts w:ascii="Arial" w:hAnsi="Arial" w:cs="Arial"/>
          <w:sz w:val="20"/>
          <w:szCs w:val="20"/>
          <w:lang w:val="fr-FR"/>
        </w:rPr>
        <w:t>,</w:t>
      </w:r>
      <w:r w:rsidR="00ED58F5" w:rsidRPr="006C7702">
        <w:rPr>
          <w:rFonts w:ascii="Arial" w:hAnsi="Arial" w:cs="Arial"/>
          <w:sz w:val="20"/>
          <w:szCs w:val="20"/>
          <w:lang w:val="fr-FR"/>
        </w:rPr>
        <w:t xml:space="preserve"> </w:t>
      </w:r>
      <w:r w:rsidR="003A1C14" w:rsidRPr="006C7702">
        <w:rPr>
          <w:rFonts w:ascii="Arial" w:hAnsi="Arial" w:cs="Arial"/>
          <w:sz w:val="20"/>
          <w:szCs w:val="20"/>
          <w:lang w:val="fr-FR"/>
        </w:rPr>
        <w:t xml:space="preserve">ICD 10 </w:t>
      </w:r>
      <w:r w:rsidRPr="006C7702">
        <w:rPr>
          <w:rFonts w:ascii="Arial" w:hAnsi="Arial" w:cs="Arial"/>
          <w:sz w:val="20"/>
          <w:szCs w:val="20"/>
          <w:lang w:val="fr-FR"/>
        </w:rPr>
        <w:t>Code :</w:t>
      </w:r>
      <w:r w:rsidR="003A1C14" w:rsidRPr="006C7702">
        <w:rPr>
          <w:rFonts w:ascii="Arial" w:hAnsi="Arial" w:cs="Arial"/>
          <w:sz w:val="20"/>
          <w:szCs w:val="20"/>
          <w:lang w:val="fr-FR"/>
        </w:rPr>
        <w:t xml:space="preserve"> </w:t>
      </w:r>
    </w:p>
    <w:p w14:paraId="368E988E" w14:textId="734F3DE5" w:rsidR="0002164A" w:rsidRPr="006C7702" w:rsidRDefault="00D6125E" w:rsidP="00D6125E">
      <w:pPr>
        <w:pStyle w:val="NoSpacing"/>
        <w:ind w:left="720"/>
        <w:rPr>
          <w:rFonts w:ascii="Arial" w:hAnsi="Arial" w:cs="Arial"/>
          <w:sz w:val="20"/>
          <w:szCs w:val="20"/>
          <w:lang w:val="fr-FR"/>
        </w:rPr>
      </w:pPr>
      <w:r w:rsidRPr="006C7702">
        <w:rPr>
          <w:rFonts w:ascii="Segoe UI Symbol" w:hAnsi="Segoe UI Symbol" w:cs="Segoe UI Symbol"/>
          <w:sz w:val="20"/>
          <w:szCs w:val="20"/>
        </w:rPr>
        <w:t>☐</w:t>
      </w:r>
      <w:r w:rsidRPr="006C7702">
        <w:rPr>
          <w:rFonts w:ascii="Arial" w:hAnsi="Arial" w:cs="Arial"/>
          <w:sz w:val="20"/>
          <w:szCs w:val="20"/>
        </w:rPr>
        <w:t xml:space="preserve"> </w:t>
      </w:r>
      <w:r w:rsidR="00C244C6" w:rsidRPr="006C7702">
        <w:rPr>
          <w:rFonts w:ascii="Arial" w:hAnsi="Arial" w:cs="Arial"/>
          <w:sz w:val="20"/>
          <w:szCs w:val="20"/>
          <w:lang w:val="fr-FR"/>
        </w:rPr>
        <w:t>B35.1</w:t>
      </w:r>
      <w:r w:rsidR="00182CB9" w:rsidRPr="006C7702">
        <w:rPr>
          <w:rFonts w:ascii="Arial" w:hAnsi="Arial" w:cs="Arial"/>
          <w:sz w:val="20"/>
          <w:szCs w:val="20"/>
          <w:lang w:val="fr-FR"/>
        </w:rPr>
        <w:t> </w:t>
      </w:r>
    </w:p>
    <w:p w14:paraId="0E83BB94" w14:textId="73ED50A1" w:rsidR="00D6125E" w:rsidRPr="006C7702" w:rsidRDefault="00D6125E" w:rsidP="00D6125E">
      <w:pPr>
        <w:pStyle w:val="NoSpacing"/>
        <w:ind w:left="720"/>
        <w:rPr>
          <w:rFonts w:ascii="Arial" w:hAnsi="Arial" w:cs="Arial"/>
          <w:sz w:val="20"/>
          <w:szCs w:val="20"/>
          <w:lang w:val="fr-FR"/>
        </w:rPr>
      </w:pPr>
      <w:r w:rsidRPr="006C7702">
        <w:rPr>
          <w:rFonts w:ascii="Segoe UI Symbol" w:hAnsi="Segoe UI Symbol" w:cs="Segoe UI Symbol"/>
          <w:sz w:val="20"/>
          <w:szCs w:val="20"/>
        </w:rPr>
        <w:t>☐</w:t>
      </w:r>
      <w:r w:rsidRPr="006C7702">
        <w:rPr>
          <w:rFonts w:ascii="Arial" w:hAnsi="Arial" w:cs="Arial"/>
          <w:sz w:val="20"/>
          <w:szCs w:val="20"/>
        </w:rPr>
        <w:t xml:space="preserve"> Other </w:t>
      </w:r>
    </w:p>
    <w:p w14:paraId="7BD2B5EC" w14:textId="41CEFE49" w:rsidR="0002164A" w:rsidRPr="006C7702" w:rsidRDefault="00C244C6" w:rsidP="001F4DD1">
      <w:pPr>
        <w:pStyle w:val="NoSpacing"/>
        <w:numPr>
          <w:ilvl w:val="0"/>
          <w:numId w:val="9"/>
        </w:numPr>
        <w:rPr>
          <w:rFonts w:ascii="Arial" w:hAnsi="Arial" w:cs="Arial"/>
          <w:sz w:val="20"/>
          <w:szCs w:val="20"/>
        </w:rPr>
      </w:pPr>
      <w:r w:rsidRPr="006C7702">
        <w:rPr>
          <w:rFonts w:ascii="Arial" w:hAnsi="Arial" w:cs="Arial"/>
          <w:sz w:val="20"/>
          <w:szCs w:val="20"/>
        </w:rPr>
        <w:t>Any relevant lab results and dates (diagnostic testing)</w:t>
      </w:r>
    </w:p>
    <w:p w14:paraId="0FA57CA3" w14:textId="783E1D41" w:rsidR="00845888" w:rsidRPr="00136ED3" w:rsidRDefault="00845888" w:rsidP="00845888">
      <w:pPr>
        <w:pStyle w:val="NoSpacing"/>
        <w:ind w:left="360"/>
        <w:rPr>
          <w:rFonts w:ascii="Arial" w:hAnsi="Arial" w:cs="Arial"/>
          <w:sz w:val="20"/>
          <w:szCs w:val="20"/>
        </w:rPr>
      </w:pPr>
    </w:p>
    <w:p w14:paraId="7387E49F" w14:textId="77777777" w:rsidR="001F4DD1" w:rsidRPr="00136ED3" w:rsidRDefault="001F4DD1" w:rsidP="001F4DD1">
      <w:pPr>
        <w:pStyle w:val="TEXT"/>
        <w:spacing w:before="240"/>
        <w:rPr>
          <w:b/>
          <w:bCs/>
        </w:rPr>
      </w:pPr>
      <w:r w:rsidRPr="00136ED3">
        <w:rPr>
          <w:b/>
          <w:bCs/>
        </w:rPr>
        <w:t>Summary of Patient’s History:</w:t>
      </w:r>
      <w:r w:rsidRPr="00136ED3">
        <w:rPr>
          <w:b/>
          <w:bCs/>
        </w:rPr>
        <w:br/>
      </w:r>
      <w:r w:rsidRPr="00136ED3">
        <w:t>[Insert:</w:t>
      </w:r>
    </w:p>
    <w:p w14:paraId="0B8C5772" w14:textId="05F58AB0" w:rsidR="00CF05E5" w:rsidRPr="00136ED3" w:rsidRDefault="00CF05E5" w:rsidP="00136ED3">
      <w:pPr>
        <w:pStyle w:val="BOLDBULLETS"/>
        <w:numPr>
          <w:ilvl w:val="0"/>
          <w:numId w:val="10"/>
        </w:numPr>
        <w:rPr>
          <w:b w:val="0"/>
          <w:bCs/>
        </w:rPr>
      </w:pPr>
      <w:r w:rsidRPr="00136ED3">
        <w:rPr>
          <w:b w:val="0"/>
          <w:bCs/>
        </w:rPr>
        <w:t>Description of patient’s recent symptoms/condition</w:t>
      </w:r>
      <w:r w:rsidR="00C244C6">
        <w:rPr>
          <w:b w:val="0"/>
          <w:bCs/>
        </w:rPr>
        <w:t>, including photographs of onychomycosis, if applicable</w:t>
      </w:r>
    </w:p>
    <w:p w14:paraId="41F9C7F1" w14:textId="154CFFE1" w:rsidR="00DA77BF" w:rsidRDefault="00136ED3" w:rsidP="00136ED3">
      <w:pPr>
        <w:pStyle w:val="NoSpacing"/>
        <w:numPr>
          <w:ilvl w:val="0"/>
          <w:numId w:val="10"/>
        </w:numPr>
        <w:rPr>
          <w:rFonts w:ascii="Arial" w:hAnsi="Arial" w:cs="Arial"/>
          <w:sz w:val="20"/>
          <w:szCs w:val="20"/>
        </w:rPr>
      </w:pPr>
      <w:r w:rsidRPr="00136ED3">
        <w:rPr>
          <w:rFonts w:ascii="Arial" w:hAnsi="Arial" w:cs="Arial"/>
          <w:sz w:val="20"/>
          <w:szCs w:val="20"/>
        </w:rPr>
        <w:t>Allergies</w:t>
      </w:r>
      <w:r w:rsidR="00B002BF">
        <w:rPr>
          <w:rFonts w:ascii="Arial" w:hAnsi="Arial" w:cs="Arial"/>
          <w:sz w:val="20"/>
          <w:szCs w:val="20"/>
        </w:rPr>
        <w:t xml:space="preserve"> to preferred agents, if applicable</w:t>
      </w:r>
      <w:r w:rsidRPr="00136ED3">
        <w:rPr>
          <w:rFonts w:ascii="Arial" w:hAnsi="Arial" w:cs="Arial"/>
          <w:sz w:val="20"/>
          <w:szCs w:val="20"/>
        </w:rPr>
        <w:t xml:space="preserve"> </w:t>
      </w:r>
    </w:p>
    <w:p w14:paraId="7DDEB048" w14:textId="1009C980" w:rsidR="00907E22" w:rsidRPr="005D5557" w:rsidRDefault="00907E22" w:rsidP="00136ED3">
      <w:pPr>
        <w:pStyle w:val="NoSpacing"/>
        <w:numPr>
          <w:ilvl w:val="0"/>
          <w:numId w:val="10"/>
        </w:numPr>
        <w:rPr>
          <w:rFonts w:ascii="Arial" w:hAnsi="Arial" w:cs="Arial"/>
          <w:sz w:val="20"/>
          <w:szCs w:val="20"/>
        </w:rPr>
      </w:pPr>
      <w:r w:rsidRPr="005D5557">
        <w:rPr>
          <w:rFonts w:ascii="Arial" w:hAnsi="Arial" w:cs="Arial"/>
          <w:sz w:val="20"/>
          <w:szCs w:val="20"/>
        </w:rPr>
        <w:t>Co-morbidities (</w:t>
      </w:r>
      <w:proofErr w:type="spellStart"/>
      <w:r w:rsidRPr="005D5557">
        <w:rPr>
          <w:rFonts w:ascii="Arial" w:hAnsi="Arial" w:cs="Arial"/>
          <w:sz w:val="20"/>
          <w:szCs w:val="20"/>
        </w:rPr>
        <w:t>eg.</w:t>
      </w:r>
      <w:proofErr w:type="spellEnd"/>
      <w:r w:rsidRPr="005D5557">
        <w:rPr>
          <w:rFonts w:ascii="Arial" w:hAnsi="Arial" w:cs="Arial"/>
          <w:sz w:val="20"/>
          <w:szCs w:val="20"/>
        </w:rPr>
        <w:t xml:space="preserve"> Liver or </w:t>
      </w:r>
      <w:proofErr w:type="gramStart"/>
      <w:r w:rsidRPr="005D5557">
        <w:rPr>
          <w:rFonts w:ascii="Arial" w:hAnsi="Arial" w:cs="Arial"/>
          <w:sz w:val="20"/>
          <w:szCs w:val="20"/>
        </w:rPr>
        <w:t>Kidney disease</w:t>
      </w:r>
      <w:proofErr w:type="gramEnd"/>
      <w:r w:rsidRPr="005D5557">
        <w:rPr>
          <w:rFonts w:ascii="Arial" w:hAnsi="Arial" w:cs="Arial"/>
          <w:sz w:val="20"/>
          <w:szCs w:val="20"/>
        </w:rPr>
        <w:t>)</w:t>
      </w:r>
    </w:p>
    <w:p w14:paraId="77B70835" w14:textId="68B09780" w:rsidR="00907E22" w:rsidRPr="005D5557" w:rsidRDefault="00907E22" w:rsidP="00136ED3">
      <w:pPr>
        <w:pStyle w:val="NoSpacing"/>
        <w:numPr>
          <w:ilvl w:val="0"/>
          <w:numId w:val="10"/>
        </w:numPr>
        <w:rPr>
          <w:rFonts w:ascii="Arial" w:hAnsi="Arial" w:cs="Arial"/>
          <w:sz w:val="20"/>
          <w:szCs w:val="20"/>
        </w:rPr>
      </w:pPr>
      <w:r w:rsidRPr="005D5557">
        <w:rPr>
          <w:rFonts w:ascii="Arial" w:hAnsi="Arial" w:cs="Arial"/>
          <w:sz w:val="20"/>
          <w:szCs w:val="20"/>
        </w:rPr>
        <w:t xml:space="preserve">Medications which can affect or be affected by an oral treatment. </w:t>
      </w:r>
    </w:p>
    <w:p w14:paraId="05414D60" w14:textId="737EA52A" w:rsidR="00DA77BF" w:rsidRPr="00C244C6" w:rsidRDefault="00CF05E5" w:rsidP="00C244C6">
      <w:pPr>
        <w:pStyle w:val="BOLDBULLETS"/>
        <w:numPr>
          <w:ilvl w:val="0"/>
          <w:numId w:val="7"/>
        </w:numPr>
        <w:rPr>
          <w:b w:val="0"/>
          <w:bCs/>
        </w:rPr>
      </w:pPr>
      <w:r w:rsidRPr="00136ED3">
        <w:rPr>
          <w:b w:val="0"/>
          <w:bCs/>
        </w:rPr>
        <w:t>Summary of your professional opinion of the patient’s likely prognosis o</w:t>
      </w:r>
      <w:r w:rsidR="00D10D15">
        <w:rPr>
          <w:b w:val="0"/>
          <w:bCs/>
        </w:rPr>
        <w:t>f</w:t>
      </w:r>
      <w:r w:rsidRPr="00136ED3">
        <w:rPr>
          <w:b w:val="0"/>
          <w:bCs/>
        </w:rPr>
        <w:t xml:space="preserve"> </w:t>
      </w:r>
      <w:r w:rsidR="00C244C6" w:rsidRPr="00C244C6">
        <w:rPr>
          <w:b w:val="0"/>
          <w:bCs/>
        </w:rPr>
        <w:t>onychomycosis</w:t>
      </w:r>
      <w:r w:rsidR="00D10D15" w:rsidRPr="00C244C6">
        <w:rPr>
          <w:b w:val="0"/>
          <w:bCs/>
        </w:rPr>
        <w:t xml:space="preserve"> </w:t>
      </w:r>
      <w:r w:rsidRPr="00C244C6">
        <w:rPr>
          <w:b w:val="0"/>
          <w:bCs/>
        </w:rPr>
        <w:t xml:space="preserve">without treatment </w:t>
      </w:r>
      <w:r w:rsidR="007648AD" w:rsidRPr="00C244C6">
        <w:rPr>
          <w:b w:val="0"/>
          <w:bCs/>
        </w:rPr>
        <w:t xml:space="preserve">with </w:t>
      </w:r>
      <w:r w:rsidR="00C244C6" w:rsidRPr="00480700">
        <w:rPr>
          <w:b w:val="0"/>
          <w:bCs/>
        </w:rPr>
        <w:t>J</w:t>
      </w:r>
      <w:r w:rsidR="00480700">
        <w:rPr>
          <w:b w:val="0"/>
          <w:bCs/>
        </w:rPr>
        <w:t>UBLIA</w:t>
      </w:r>
      <w:r w:rsidR="003A381D" w:rsidRPr="00480700">
        <w:rPr>
          <w:b w:val="0"/>
          <w:bCs/>
          <w:vertAlign w:val="superscript"/>
        </w:rPr>
        <w:t>®</w:t>
      </w:r>
      <w:r w:rsidR="00BB29C5" w:rsidRPr="00480700">
        <w:rPr>
          <w:b w:val="0"/>
          <w:bCs/>
          <w:vertAlign w:val="superscript"/>
        </w:rPr>
        <w:br/>
      </w:r>
    </w:p>
    <w:p w14:paraId="40AB3DDF" w14:textId="22ED4402" w:rsidR="00BB29C5" w:rsidRPr="007648AD" w:rsidRDefault="00981808" w:rsidP="007648AD">
      <w:pPr>
        <w:pStyle w:val="BOLDBULLETS"/>
        <w:rPr>
          <w:b w:val="0"/>
          <w:bCs/>
          <w:i/>
          <w:iCs/>
        </w:rPr>
      </w:pPr>
      <w:r w:rsidRPr="00981808">
        <w:rPr>
          <w:b w:val="0"/>
          <w:bCs/>
          <w:i/>
          <w:iCs/>
        </w:rPr>
        <w:t>Note: exercise your medical judgment and discretion when providing a diagnosis and characterization of the patient’s medical condition</w:t>
      </w:r>
    </w:p>
    <w:p w14:paraId="0FE6267B" w14:textId="77777777" w:rsidR="00BB29C5" w:rsidRDefault="00BB29C5" w:rsidP="00DA77BF">
      <w:pPr>
        <w:pStyle w:val="BOLDBULLETS"/>
        <w:ind w:left="0" w:firstLine="0"/>
      </w:pPr>
    </w:p>
    <w:p w14:paraId="641F7E65" w14:textId="1206EA3F" w:rsidR="00FD2AD8" w:rsidRPr="00136ED3" w:rsidRDefault="00FD2AD8" w:rsidP="00DA77BF">
      <w:pPr>
        <w:pStyle w:val="BOLDBULLETS"/>
        <w:ind w:left="0" w:firstLine="0"/>
      </w:pPr>
      <w:r w:rsidRPr="00136ED3">
        <w:t xml:space="preserve">Previously Tried Medications </w:t>
      </w:r>
      <w:r w:rsidR="003A381D" w:rsidRPr="00136ED3">
        <w:t>for</w:t>
      </w:r>
      <w:r w:rsidRPr="00136ED3">
        <w:t xml:space="preserve"> </w:t>
      </w:r>
      <w:r w:rsidR="00C244C6">
        <w:t>Onychomycosis</w:t>
      </w:r>
    </w:p>
    <w:p w14:paraId="357C20C2" w14:textId="77777777" w:rsidR="00FD2AD8" w:rsidRDefault="00FD2AD8" w:rsidP="003E6FBB">
      <w:pPr>
        <w:pStyle w:val="BOLDBULLETS"/>
      </w:pPr>
    </w:p>
    <w:tbl>
      <w:tblPr>
        <w:tblStyle w:val="TableGrid"/>
        <w:tblW w:w="0" w:type="auto"/>
        <w:tblInd w:w="360" w:type="dxa"/>
        <w:tblLook w:val="04A0" w:firstRow="1" w:lastRow="0" w:firstColumn="1" w:lastColumn="0" w:noHBand="0" w:noVBand="1"/>
      </w:tblPr>
      <w:tblGrid>
        <w:gridCol w:w="2695"/>
        <w:gridCol w:w="2430"/>
        <w:gridCol w:w="4657"/>
      </w:tblGrid>
      <w:tr w:rsidR="00981808" w14:paraId="1CEAAF08" w14:textId="77777777" w:rsidTr="00981808">
        <w:tc>
          <w:tcPr>
            <w:tcW w:w="2695" w:type="dxa"/>
          </w:tcPr>
          <w:p w14:paraId="216C6B34" w14:textId="2DC6A987" w:rsidR="00981808" w:rsidRDefault="00981808" w:rsidP="003E6FBB">
            <w:pPr>
              <w:pStyle w:val="BOLDBULLETS"/>
              <w:ind w:left="0" w:firstLine="0"/>
            </w:pPr>
            <w:r>
              <w:t>Name</w:t>
            </w:r>
          </w:p>
        </w:tc>
        <w:tc>
          <w:tcPr>
            <w:tcW w:w="2430" w:type="dxa"/>
          </w:tcPr>
          <w:p w14:paraId="57596768" w14:textId="60AAB033" w:rsidR="00981808" w:rsidRDefault="00981808" w:rsidP="003E6FBB">
            <w:pPr>
              <w:pStyle w:val="BOLDBULLETS"/>
              <w:ind w:left="0" w:firstLine="0"/>
            </w:pPr>
            <w:r>
              <w:t>Start Date – Stop Date</w:t>
            </w:r>
          </w:p>
        </w:tc>
        <w:tc>
          <w:tcPr>
            <w:tcW w:w="4657" w:type="dxa"/>
          </w:tcPr>
          <w:p w14:paraId="1BE0DF7E" w14:textId="2AF5C9E5" w:rsidR="00981808" w:rsidRDefault="00981808" w:rsidP="003E6FBB">
            <w:pPr>
              <w:pStyle w:val="BOLDBULLETS"/>
              <w:ind w:left="0" w:firstLine="0"/>
            </w:pPr>
            <w:r w:rsidRPr="00136ED3">
              <w:t>Outcome of Previously Tried Therapy</w:t>
            </w:r>
            <w:r>
              <w:t xml:space="preserve"> or Reason for Stopping Therapy</w:t>
            </w:r>
          </w:p>
        </w:tc>
      </w:tr>
      <w:tr w:rsidR="00981808" w14:paraId="261EFAFF" w14:textId="77777777" w:rsidTr="00981808">
        <w:tc>
          <w:tcPr>
            <w:tcW w:w="2695" w:type="dxa"/>
          </w:tcPr>
          <w:p w14:paraId="7249799B" w14:textId="77777777" w:rsidR="00981808" w:rsidRDefault="00981808" w:rsidP="003E6FBB">
            <w:pPr>
              <w:pStyle w:val="BOLDBULLETS"/>
              <w:ind w:left="0" w:firstLine="0"/>
            </w:pPr>
          </w:p>
        </w:tc>
        <w:tc>
          <w:tcPr>
            <w:tcW w:w="2430" w:type="dxa"/>
          </w:tcPr>
          <w:p w14:paraId="07CB15E4" w14:textId="77777777" w:rsidR="00981808" w:rsidRDefault="00981808" w:rsidP="003E6FBB">
            <w:pPr>
              <w:pStyle w:val="BOLDBULLETS"/>
              <w:ind w:left="0" w:firstLine="0"/>
            </w:pPr>
          </w:p>
        </w:tc>
        <w:tc>
          <w:tcPr>
            <w:tcW w:w="4657" w:type="dxa"/>
          </w:tcPr>
          <w:p w14:paraId="15137292" w14:textId="77777777" w:rsidR="00981808" w:rsidRDefault="00981808" w:rsidP="003E6FBB">
            <w:pPr>
              <w:pStyle w:val="BOLDBULLETS"/>
              <w:ind w:left="0" w:firstLine="0"/>
            </w:pPr>
          </w:p>
        </w:tc>
      </w:tr>
      <w:tr w:rsidR="00981808" w14:paraId="7301AA1E" w14:textId="77777777" w:rsidTr="00981808">
        <w:tc>
          <w:tcPr>
            <w:tcW w:w="2695" w:type="dxa"/>
          </w:tcPr>
          <w:p w14:paraId="0D8FC5B5" w14:textId="77777777" w:rsidR="00981808" w:rsidRDefault="00981808" w:rsidP="003E6FBB">
            <w:pPr>
              <w:pStyle w:val="BOLDBULLETS"/>
              <w:ind w:left="0" w:firstLine="0"/>
            </w:pPr>
          </w:p>
        </w:tc>
        <w:tc>
          <w:tcPr>
            <w:tcW w:w="2430" w:type="dxa"/>
          </w:tcPr>
          <w:p w14:paraId="5FA065A7" w14:textId="77777777" w:rsidR="00981808" w:rsidRDefault="00981808" w:rsidP="003E6FBB">
            <w:pPr>
              <w:pStyle w:val="BOLDBULLETS"/>
              <w:ind w:left="0" w:firstLine="0"/>
            </w:pPr>
          </w:p>
        </w:tc>
        <w:tc>
          <w:tcPr>
            <w:tcW w:w="4657" w:type="dxa"/>
          </w:tcPr>
          <w:p w14:paraId="27689AA6" w14:textId="77777777" w:rsidR="00981808" w:rsidRDefault="00981808" w:rsidP="003E6FBB">
            <w:pPr>
              <w:pStyle w:val="BOLDBULLETS"/>
              <w:ind w:left="0" w:firstLine="0"/>
            </w:pPr>
          </w:p>
        </w:tc>
      </w:tr>
      <w:tr w:rsidR="00981808" w14:paraId="7B646ED4" w14:textId="77777777" w:rsidTr="00981808">
        <w:tc>
          <w:tcPr>
            <w:tcW w:w="2695" w:type="dxa"/>
          </w:tcPr>
          <w:p w14:paraId="21E83C9B" w14:textId="77777777" w:rsidR="00981808" w:rsidRDefault="00981808" w:rsidP="003E6FBB">
            <w:pPr>
              <w:pStyle w:val="BOLDBULLETS"/>
              <w:ind w:left="0" w:firstLine="0"/>
            </w:pPr>
          </w:p>
        </w:tc>
        <w:tc>
          <w:tcPr>
            <w:tcW w:w="2430" w:type="dxa"/>
          </w:tcPr>
          <w:p w14:paraId="6569DBF3" w14:textId="77777777" w:rsidR="00981808" w:rsidRDefault="00981808" w:rsidP="003E6FBB">
            <w:pPr>
              <w:pStyle w:val="BOLDBULLETS"/>
              <w:ind w:left="0" w:firstLine="0"/>
            </w:pPr>
          </w:p>
        </w:tc>
        <w:tc>
          <w:tcPr>
            <w:tcW w:w="4657" w:type="dxa"/>
          </w:tcPr>
          <w:p w14:paraId="2927EAB8" w14:textId="77777777" w:rsidR="00981808" w:rsidRDefault="00981808" w:rsidP="003E6FBB">
            <w:pPr>
              <w:pStyle w:val="BOLDBULLETS"/>
              <w:ind w:left="0" w:firstLine="0"/>
            </w:pPr>
          </w:p>
        </w:tc>
      </w:tr>
      <w:tr w:rsidR="00981808" w14:paraId="687CC34E" w14:textId="77777777" w:rsidTr="00981808">
        <w:tc>
          <w:tcPr>
            <w:tcW w:w="2695" w:type="dxa"/>
          </w:tcPr>
          <w:p w14:paraId="56FCC0FD" w14:textId="77777777" w:rsidR="00981808" w:rsidRDefault="00981808" w:rsidP="003E6FBB">
            <w:pPr>
              <w:pStyle w:val="BOLDBULLETS"/>
              <w:ind w:left="0" w:firstLine="0"/>
            </w:pPr>
          </w:p>
        </w:tc>
        <w:tc>
          <w:tcPr>
            <w:tcW w:w="2430" w:type="dxa"/>
          </w:tcPr>
          <w:p w14:paraId="39847B0F" w14:textId="77777777" w:rsidR="00981808" w:rsidRDefault="00981808" w:rsidP="003E6FBB">
            <w:pPr>
              <w:pStyle w:val="BOLDBULLETS"/>
              <w:ind w:left="0" w:firstLine="0"/>
            </w:pPr>
          </w:p>
        </w:tc>
        <w:tc>
          <w:tcPr>
            <w:tcW w:w="4657" w:type="dxa"/>
          </w:tcPr>
          <w:p w14:paraId="2A71BD6D" w14:textId="77777777" w:rsidR="00981808" w:rsidRDefault="00981808" w:rsidP="003E6FBB">
            <w:pPr>
              <w:pStyle w:val="BOLDBULLETS"/>
              <w:ind w:left="0" w:firstLine="0"/>
            </w:pPr>
          </w:p>
        </w:tc>
      </w:tr>
    </w:tbl>
    <w:p w14:paraId="19D4A667" w14:textId="77777777" w:rsidR="00FD2AD8" w:rsidRPr="00136ED3" w:rsidRDefault="00FD2AD8" w:rsidP="00981808">
      <w:pPr>
        <w:pStyle w:val="BOLDBULLETS"/>
        <w:ind w:left="0" w:firstLine="0"/>
      </w:pPr>
    </w:p>
    <w:p w14:paraId="3C791AB1" w14:textId="77777777" w:rsidR="00D6054A" w:rsidRDefault="00D6054A" w:rsidP="00823615">
      <w:pPr>
        <w:pStyle w:val="BOLDBULLETS"/>
        <w:ind w:left="0" w:firstLine="0"/>
      </w:pPr>
    </w:p>
    <w:p w14:paraId="4187ABF4" w14:textId="77777777" w:rsidR="00823615" w:rsidRDefault="00823615" w:rsidP="00823615">
      <w:pPr>
        <w:pStyle w:val="BOLDBULLETS"/>
        <w:ind w:left="0" w:firstLine="0"/>
      </w:pPr>
    </w:p>
    <w:p w14:paraId="42847BAF" w14:textId="77777777" w:rsidR="00E04982" w:rsidRDefault="00E04982" w:rsidP="00BB29C5">
      <w:pPr>
        <w:pStyle w:val="BOLDBULLETS"/>
      </w:pPr>
    </w:p>
    <w:p w14:paraId="24B1306B" w14:textId="77777777" w:rsidR="00E04982" w:rsidRDefault="00E04982" w:rsidP="00BB29C5">
      <w:pPr>
        <w:pStyle w:val="BOLDBULLETS"/>
      </w:pPr>
    </w:p>
    <w:p w14:paraId="62F543C5" w14:textId="44278DD6" w:rsidR="00BB29C5" w:rsidRDefault="00BB29C5" w:rsidP="00BB29C5">
      <w:pPr>
        <w:pStyle w:val="BOLDBULLETS"/>
      </w:pPr>
      <w:r>
        <w:t>Rationale for Treatment</w:t>
      </w:r>
    </w:p>
    <w:p w14:paraId="46940D4D" w14:textId="77777777" w:rsidR="00BB29C5" w:rsidRDefault="00BB29C5" w:rsidP="00BB29C5">
      <w:pPr>
        <w:pStyle w:val="BOLDBULLETS"/>
        <w:rPr>
          <w:b w:val="0"/>
          <w:bCs/>
        </w:rPr>
      </w:pPr>
    </w:p>
    <w:p w14:paraId="2BA2CF1F" w14:textId="77777777" w:rsidR="00C80976" w:rsidRDefault="00BB29C5" w:rsidP="00BB29C5">
      <w:pPr>
        <w:rPr>
          <w:rFonts w:ascii="Arial" w:hAnsi="Arial" w:cs="Arial"/>
          <w:sz w:val="20"/>
          <w:szCs w:val="20"/>
        </w:rPr>
      </w:pPr>
      <w:r w:rsidRPr="00BB29C5">
        <w:rPr>
          <w:rFonts w:ascii="Arial" w:hAnsi="Arial" w:cs="Arial"/>
          <w:sz w:val="20"/>
          <w:szCs w:val="20"/>
        </w:rPr>
        <w:t xml:space="preserve">[Insert summary statement for rationale for treatment such as: </w:t>
      </w:r>
    </w:p>
    <w:p w14:paraId="12AE9B5E" w14:textId="52EAC235" w:rsidR="00BB29C5" w:rsidRPr="001D7581" w:rsidRDefault="00BB29C5" w:rsidP="001D7581">
      <w:pPr>
        <w:rPr>
          <w:rFonts w:ascii="Arial" w:hAnsi="Arial" w:cs="Arial"/>
          <w:sz w:val="20"/>
          <w:szCs w:val="20"/>
        </w:rPr>
      </w:pPr>
      <w:r w:rsidRPr="001D7581">
        <w:rPr>
          <w:rFonts w:ascii="Arial" w:hAnsi="Arial" w:cs="Arial"/>
          <w:sz w:val="20"/>
          <w:szCs w:val="20"/>
        </w:rPr>
        <w:t xml:space="preserve">Considering the patient’s history, condition, and the full Prescribing Information </w:t>
      </w:r>
      <w:r w:rsidR="005A3394" w:rsidRPr="001D7581">
        <w:rPr>
          <w:rFonts w:ascii="Arial" w:hAnsi="Arial" w:cs="Arial"/>
          <w:sz w:val="20"/>
          <w:szCs w:val="20"/>
        </w:rPr>
        <w:t>for</w:t>
      </w:r>
      <w:r w:rsidRPr="001D7581">
        <w:rPr>
          <w:rFonts w:ascii="Arial" w:hAnsi="Arial" w:cs="Arial"/>
          <w:sz w:val="20"/>
          <w:szCs w:val="20"/>
        </w:rPr>
        <w:t xml:space="preserve"> </w:t>
      </w:r>
      <w:r w:rsidR="00C244C6">
        <w:rPr>
          <w:rFonts w:ascii="Arial" w:hAnsi="Arial" w:cs="Arial"/>
          <w:sz w:val="20"/>
          <w:szCs w:val="20"/>
        </w:rPr>
        <w:t>J</w:t>
      </w:r>
      <w:r w:rsidR="00DE5BD0">
        <w:rPr>
          <w:rFonts w:ascii="Arial" w:hAnsi="Arial" w:cs="Arial"/>
          <w:sz w:val="20"/>
          <w:szCs w:val="20"/>
        </w:rPr>
        <w:t>UBLIA</w:t>
      </w:r>
      <w:r w:rsidRPr="001D7581">
        <w:rPr>
          <w:rFonts w:ascii="Arial" w:hAnsi="Arial" w:cs="Arial"/>
          <w:sz w:val="20"/>
          <w:szCs w:val="20"/>
          <w:vertAlign w:val="superscript"/>
        </w:rPr>
        <w:t>®</w:t>
      </w:r>
      <w:r w:rsidRPr="001D7581">
        <w:rPr>
          <w:rFonts w:ascii="Arial" w:hAnsi="Arial" w:cs="Arial"/>
          <w:sz w:val="20"/>
          <w:szCs w:val="20"/>
        </w:rPr>
        <w:t xml:space="preserve">, I believe treatment </w:t>
      </w:r>
      <w:r w:rsidR="00C244C6">
        <w:rPr>
          <w:rFonts w:ascii="Arial" w:hAnsi="Arial" w:cs="Arial"/>
          <w:sz w:val="20"/>
          <w:szCs w:val="20"/>
        </w:rPr>
        <w:t>J</w:t>
      </w:r>
      <w:r w:rsidR="00DE5BD0">
        <w:rPr>
          <w:rFonts w:ascii="Arial" w:hAnsi="Arial" w:cs="Arial"/>
          <w:sz w:val="20"/>
          <w:szCs w:val="20"/>
        </w:rPr>
        <w:t>UBLIA</w:t>
      </w:r>
      <w:r w:rsidR="00D0608A" w:rsidRPr="001D7581">
        <w:rPr>
          <w:rFonts w:ascii="Arial" w:hAnsi="Arial" w:cs="Arial"/>
          <w:sz w:val="20"/>
          <w:szCs w:val="20"/>
          <w:vertAlign w:val="superscript"/>
        </w:rPr>
        <w:t>®</w:t>
      </w:r>
      <w:r w:rsidR="00D0608A">
        <w:rPr>
          <w:rFonts w:ascii="Arial" w:hAnsi="Arial" w:cs="Arial"/>
          <w:sz w:val="20"/>
          <w:szCs w:val="20"/>
          <w:vertAlign w:val="superscript"/>
        </w:rPr>
        <w:t xml:space="preserve"> </w:t>
      </w:r>
      <w:r w:rsidRPr="001D7581">
        <w:rPr>
          <w:rFonts w:ascii="Arial" w:hAnsi="Arial" w:cs="Arial"/>
          <w:sz w:val="20"/>
          <w:szCs w:val="20"/>
        </w:rPr>
        <w:t xml:space="preserve">at this time is medically </w:t>
      </w:r>
      <w:r w:rsidR="00AF49DF" w:rsidRPr="001D7581">
        <w:rPr>
          <w:rFonts w:ascii="Arial" w:hAnsi="Arial" w:cs="Arial"/>
          <w:sz w:val="20"/>
          <w:szCs w:val="20"/>
        </w:rPr>
        <w:t>necessary and</w:t>
      </w:r>
      <w:r w:rsidRPr="001D7581">
        <w:rPr>
          <w:rFonts w:ascii="Arial" w:hAnsi="Arial" w:cs="Arial"/>
          <w:sz w:val="20"/>
          <w:szCs w:val="20"/>
        </w:rPr>
        <w:t xml:space="preserve"> should be a covered and reimbursed service. </w:t>
      </w:r>
    </w:p>
    <w:p w14:paraId="095DDA85" w14:textId="38D57AE2" w:rsidR="00BB29C5" w:rsidRPr="00BB29C5" w:rsidRDefault="4A8FAF55" w:rsidP="001D7581">
      <w:pPr>
        <w:rPr>
          <w:rFonts w:ascii="Arial" w:hAnsi="Arial" w:cs="Arial"/>
          <w:sz w:val="20"/>
          <w:szCs w:val="20"/>
        </w:rPr>
      </w:pPr>
      <w:r w:rsidRPr="1C2B9B9B">
        <w:rPr>
          <w:rFonts w:ascii="Arial" w:hAnsi="Arial" w:cs="Arial"/>
          <w:sz w:val="20"/>
          <w:szCs w:val="20"/>
        </w:rPr>
        <w:t xml:space="preserve">You may consider including documents that provide additional clinical information to support the </w:t>
      </w:r>
      <w:r w:rsidR="679C12DA" w:rsidRPr="1C2B9B9B">
        <w:rPr>
          <w:rFonts w:ascii="Arial" w:hAnsi="Arial" w:cs="Arial"/>
          <w:sz w:val="20"/>
          <w:szCs w:val="20"/>
        </w:rPr>
        <w:t>recommendation of</w:t>
      </w:r>
      <w:r w:rsidRPr="1C2B9B9B">
        <w:rPr>
          <w:rFonts w:ascii="Arial" w:hAnsi="Arial" w:cs="Arial"/>
          <w:sz w:val="20"/>
          <w:szCs w:val="20"/>
        </w:rPr>
        <w:t xml:space="preserve"> </w:t>
      </w:r>
      <w:r w:rsidR="00C244C6">
        <w:rPr>
          <w:rFonts w:ascii="Arial" w:hAnsi="Arial" w:cs="Arial"/>
          <w:sz w:val="20"/>
          <w:szCs w:val="20"/>
        </w:rPr>
        <w:t>J</w:t>
      </w:r>
      <w:r w:rsidR="00DE5BD0">
        <w:rPr>
          <w:rFonts w:ascii="Arial" w:hAnsi="Arial" w:cs="Arial"/>
          <w:sz w:val="20"/>
          <w:szCs w:val="20"/>
        </w:rPr>
        <w:t>UBLIA</w:t>
      </w:r>
      <w:r w:rsidR="6144EA15" w:rsidRPr="1C2B9B9B">
        <w:rPr>
          <w:rFonts w:ascii="Arial" w:hAnsi="Arial" w:cs="Arial"/>
          <w:sz w:val="20"/>
          <w:szCs w:val="20"/>
          <w:vertAlign w:val="superscript"/>
        </w:rPr>
        <w:t>®</w:t>
      </w:r>
      <w:r w:rsidRPr="1C2B9B9B">
        <w:rPr>
          <w:rFonts w:ascii="Arial" w:hAnsi="Arial" w:cs="Arial"/>
          <w:sz w:val="20"/>
          <w:szCs w:val="20"/>
        </w:rPr>
        <w:t xml:space="preserve"> for this patient, such as the full Prescribing Information, peer-reviewed journal articles, or clinical guidelines.</w:t>
      </w:r>
      <w:r w:rsidR="5209138C" w:rsidRPr="1C2B9B9B">
        <w:rPr>
          <w:rFonts w:ascii="Arial" w:hAnsi="Arial" w:cs="Arial"/>
          <w:sz w:val="20"/>
          <w:szCs w:val="20"/>
        </w:rPr>
        <w:t xml:space="preserve"> See below for a short list of supporting publications</w:t>
      </w:r>
      <w:r w:rsidRPr="1C2B9B9B">
        <w:rPr>
          <w:rFonts w:ascii="Arial" w:hAnsi="Arial" w:cs="Arial"/>
          <w:sz w:val="20"/>
          <w:szCs w:val="20"/>
        </w:rPr>
        <w:t xml:space="preserve">] </w:t>
      </w:r>
    </w:p>
    <w:p w14:paraId="27255953" w14:textId="77777777" w:rsidR="00BB29C5" w:rsidRPr="00BB29C5" w:rsidRDefault="00BB29C5" w:rsidP="00FE4ADB">
      <w:pPr>
        <w:pStyle w:val="BOLDBULLETS"/>
        <w:ind w:left="0" w:firstLine="0"/>
        <w:rPr>
          <w:b w:val="0"/>
          <w:bCs/>
        </w:rPr>
      </w:pPr>
    </w:p>
    <w:p w14:paraId="1A70CEB2" w14:textId="77777777" w:rsidR="00BB29C5" w:rsidRPr="00BB29C5" w:rsidRDefault="00BB29C5" w:rsidP="00BB29C5">
      <w:pPr>
        <w:pStyle w:val="BOLDBULLETS"/>
        <w:rPr>
          <w:b w:val="0"/>
          <w:bCs/>
        </w:rPr>
      </w:pPr>
      <w:r w:rsidRPr="00BB29C5">
        <w:rPr>
          <w:b w:val="0"/>
          <w:bCs/>
        </w:rPr>
        <w:t>Sincerely,</w:t>
      </w:r>
    </w:p>
    <w:p w14:paraId="74B6340A" w14:textId="77777777" w:rsidR="00BB29C5" w:rsidRDefault="00BB29C5" w:rsidP="00BB29C5">
      <w:pPr>
        <w:pStyle w:val="BOLDBULLETS"/>
        <w:rPr>
          <w:b w:val="0"/>
          <w:bCs/>
        </w:rPr>
      </w:pPr>
      <w:r w:rsidRPr="00BB29C5">
        <w:rPr>
          <w:b w:val="0"/>
          <w:bCs/>
        </w:rPr>
        <w:t xml:space="preserve">[Insert Healthcare Provider’s Name and Participating Provider Number] </w:t>
      </w:r>
    </w:p>
    <w:p w14:paraId="22CA4F3A" w14:textId="77777777" w:rsidR="00BC3DE9" w:rsidRPr="00BB29C5" w:rsidRDefault="00BC3DE9" w:rsidP="00BB29C5">
      <w:pPr>
        <w:pStyle w:val="BOLDBULLETS"/>
        <w:rPr>
          <w:b w:val="0"/>
          <w:bCs/>
        </w:rPr>
      </w:pPr>
    </w:p>
    <w:p w14:paraId="0CF75860" w14:textId="77777777" w:rsidR="00BB29C5" w:rsidRDefault="00BB29C5" w:rsidP="00BB29C5">
      <w:pPr>
        <w:pStyle w:val="BOLDBULLETS"/>
        <w:rPr>
          <w:b w:val="0"/>
          <w:bCs/>
        </w:rPr>
      </w:pPr>
      <w:r w:rsidRPr="00BC3DE9">
        <w:rPr>
          <w:rFonts w:ascii="Segoe UI Symbol" w:hAnsi="Segoe UI Symbol" w:cs="Segoe UI Symbol"/>
        </w:rPr>
        <w:t>☐</w:t>
      </w:r>
      <w:r w:rsidRPr="00BB29C5">
        <w:rPr>
          <w:b w:val="0"/>
          <w:bCs/>
        </w:rPr>
        <w:t xml:space="preserve"> If this request is denied, I am requesting an expedited exception review by a professional in my specialty.</w:t>
      </w:r>
    </w:p>
    <w:p w14:paraId="643F6AA3" w14:textId="77777777" w:rsidR="00BC3DE9" w:rsidRPr="00BB29C5" w:rsidRDefault="00BC3DE9" w:rsidP="00BB29C5">
      <w:pPr>
        <w:pStyle w:val="BOLDBULLETS"/>
        <w:rPr>
          <w:b w:val="0"/>
          <w:bCs/>
        </w:rPr>
      </w:pPr>
    </w:p>
    <w:p w14:paraId="0F1A1219" w14:textId="029DA2EA" w:rsidR="00A304F2" w:rsidRDefault="00BB29C5" w:rsidP="00BB29C5">
      <w:pPr>
        <w:pStyle w:val="BOLDBULLETS"/>
        <w:rPr>
          <w:b w:val="0"/>
          <w:bCs/>
        </w:rPr>
      </w:pPr>
      <w:r w:rsidRPr="00BB29C5">
        <w:rPr>
          <w:b w:val="0"/>
          <w:bCs/>
        </w:rPr>
        <w:t>Enclosures [Include full Prescribing Information and the additional support noted above</w:t>
      </w:r>
      <w:r w:rsidR="007928B8">
        <w:rPr>
          <w:b w:val="0"/>
          <w:bCs/>
        </w:rPr>
        <w:t>, including medical records, photos, and peer review articles, if applicable.</w:t>
      </w:r>
      <w:r w:rsidRPr="00BB29C5">
        <w:rPr>
          <w:b w:val="0"/>
          <w:bCs/>
        </w:rPr>
        <w:t>]</w:t>
      </w:r>
    </w:p>
    <w:p w14:paraId="47EA3DE9" w14:textId="77777777" w:rsidR="00FC5154" w:rsidRPr="00BB29C5" w:rsidRDefault="00FC5154" w:rsidP="00BB29C5">
      <w:pPr>
        <w:pStyle w:val="BOLDBULLETS"/>
        <w:rPr>
          <w:b w:val="0"/>
          <w:bCs/>
        </w:rPr>
      </w:pPr>
    </w:p>
    <w:p w14:paraId="5503BD66" w14:textId="0055E924" w:rsidR="002415B4" w:rsidRDefault="002415B4">
      <w:pPr>
        <w:spacing w:after="0" w:line="240" w:lineRule="auto"/>
        <w:rPr>
          <w:rFonts w:ascii="Arial" w:hAnsi="Arial" w:cs="Arial"/>
          <w:b/>
          <w:sz w:val="20"/>
          <w:szCs w:val="20"/>
        </w:rPr>
      </w:pPr>
    </w:p>
    <w:p w14:paraId="21D7C360" w14:textId="77777777" w:rsidR="00DB351A" w:rsidRDefault="00875618" w:rsidP="00DB351A">
      <w:pPr>
        <w:spacing w:after="0" w:line="240" w:lineRule="auto"/>
        <w:rPr>
          <w:rFonts w:ascii="Arial" w:hAnsi="Arial" w:cs="Arial"/>
          <w:i/>
          <w:iCs/>
          <w:sz w:val="20"/>
          <w:szCs w:val="20"/>
        </w:rPr>
      </w:pPr>
      <w:r>
        <w:rPr>
          <w:rFonts w:ascii="Arial" w:hAnsi="Arial" w:cs="Arial"/>
          <w:b/>
          <w:bCs/>
          <w:sz w:val="20"/>
          <w:szCs w:val="20"/>
        </w:rPr>
        <w:t xml:space="preserve">For full Prescribing Information, visit </w:t>
      </w:r>
      <w:hyperlink r:id="rId11" w:history="1">
        <w:r w:rsidRPr="00D11DFB">
          <w:rPr>
            <w:rStyle w:val="Hyperlink"/>
            <w:rFonts w:ascii="Arial" w:hAnsi="Arial" w:cs="Arial"/>
            <w:b/>
            <w:bCs/>
            <w:sz w:val="20"/>
            <w:szCs w:val="20"/>
          </w:rPr>
          <w:t>www.jubliarx.com</w:t>
        </w:r>
      </w:hyperlink>
      <w:r>
        <w:rPr>
          <w:rFonts w:ascii="Arial" w:hAnsi="Arial" w:cs="Arial"/>
          <w:b/>
          <w:bCs/>
          <w:sz w:val="20"/>
          <w:szCs w:val="20"/>
        </w:rPr>
        <w:t xml:space="preserve"> or call Bausch Health Medical Information at (877) 361-2719 to request that it be faxed, emailed or mailed instead. </w:t>
      </w:r>
    </w:p>
    <w:p w14:paraId="537A8888" w14:textId="77777777" w:rsidR="00DB351A" w:rsidRDefault="00DB351A" w:rsidP="00DB351A">
      <w:pPr>
        <w:spacing w:after="0" w:line="240" w:lineRule="auto"/>
        <w:rPr>
          <w:rFonts w:ascii="Arial" w:hAnsi="Arial" w:cs="Arial"/>
          <w:i/>
          <w:iCs/>
          <w:sz w:val="20"/>
          <w:szCs w:val="20"/>
        </w:rPr>
      </w:pPr>
    </w:p>
    <w:p w14:paraId="483BBF5F" w14:textId="77777777" w:rsidR="00DB351A" w:rsidRDefault="00DB351A" w:rsidP="00DB351A">
      <w:pPr>
        <w:spacing w:after="0" w:line="240" w:lineRule="auto"/>
        <w:rPr>
          <w:rFonts w:ascii="Arial" w:hAnsi="Arial" w:cs="Arial"/>
          <w:i/>
          <w:iCs/>
          <w:sz w:val="20"/>
          <w:szCs w:val="20"/>
        </w:rPr>
      </w:pPr>
    </w:p>
    <w:p w14:paraId="4B219A63" w14:textId="77777777" w:rsidR="00DB351A" w:rsidRDefault="00DB351A" w:rsidP="00DB351A">
      <w:pPr>
        <w:spacing w:after="0" w:line="240" w:lineRule="auto"/>
        <w:rPr>
          <w:rFonts w:ascii="Arial" w:hAnsi="Arial" w:cs="Arial"/>
          <w:i/>
          <w:iCs/>
          <w:sz w:val="20"/>
          <w:szCs w:val="20"/>
        </w:rPr>
      </w:pPr>
    </w:p>
    <w:p w14:paraId="263F69A0" w14:textId="37296C04" w:rsidR="002415B4" w:rsidRDefault="006219CB" w:rsidP="00DB351A">
      <w:pPr>
        <w:spacing w:after="0" w:line="240" w:lineRule="auto"/>
        <w:rPr>
          <w:rFonts w:ascii="Arial" w:hAnsi="Arial" w:cs="Arial"/>
          <w:i/>
          <w:iCs/>
          <w:sz w:val="20"/>
          <w:szCs w:val="20"/>
        </w:rPr>
      </w:pPr>
      <w:r w:rsidRPr="00BC2C91">
        <w:rPr>
          <w:rFonts w:ascii="Arial" w:hAnsi="Arial" w:cs="Arial"/>
          <w:i/>
          <w:iCs/>
          <w:sz w:val="20"/>
          <w:szCs w:val="20"/>
        </w:rPr>
        <w:t xml:space="preserve">For your </w:t>
      </w:r>
      <w:r w:rsidR="008775F6" w:rsidRPr="00BC2C91">
        <w:rPr>
          <w:rFonts w:ascii="Arial" w:hAnsi="Arial" w:cs="Arial"/>
          <w:i/>
          <w:iCs/>
          <w:sz w:val="20"/>
          <w:szCs w:val="20"/>
        </w:rPr>
        <w:t>convenience</w:t>
      </w:r>
      <w:r w:rsidRPr="00BC2C91">
        <w:rPr>
          <w:rFonts w:ascii="Arial" w:hAnsi="Arial" w:cs="Arial"/>
          <w:i/>
          <w:iCs/>
          <w:sz w:val="20"/>
          <w:szCs w:val="20"/>
        </w:rPr>
        <w:t xml:space="preserve">, </w:t>
      </w:r>
      <w:r w:rsidR="008775F6" w:rsidRPr="00BC2C91">
        <w:rPr>
          <w:rFonts w:ascii="Arial" w:hAnsi="Arial" w:cs="Arial"/>
          <w:i/>
          <w:iCs/>
          <w:sz w:val="20"/>
          <w:szCs w:val="20"/>
        </w:rPr>
        <w:t xml:space="preserve">below is a short </w:t>
      </w:r>
      <w:r w:rsidR="000E7DC5" w:rsidRPr="00BC2C91">
        <w:rPr>
          <w:rFonts w:ascii="Arial" w:hAnsi="Arial" w:cs="Arial"/>
          <w:i/>
          <w:iCs/>
          <w:sz w:val="20"/>
          <w:szCs w:val="20"/>
        </w:rPr>
        <w:t xml:space="preserve">list of </w:t>
      </w:r>
      <w:r w:rsidRPr="00BC2C91">
        <w:rPr>
          <w:rFonts w:ascii="Arial" w:hAnsi="Arial" w:cs="Arial"/>
          <w:i/>
          <w:iCs/>
          <w:sz w:val="20"/>
          <w:szCs w:val="20"/>
        </w:rPr>
        <w:t xml:space="preserve">peer-reviewed literature that you may consider </w:t>
      </w:r>
      <w:r w:rsidR="009A4F28">
        <w:rPr>
          <w:rFonts w:ascii="Arial" w:hAnsi="Arial" w:cs="Arial"/>
          <w:i/>
          <w:iCs/>
          <w:sz w:val="20"/>
          <w:szCs w:val="20"/>
        </w:rPr>
        <w:t>including</w:t>
      </w:r>
      <w:r w:rsidR="008517AF">
        <w:rPr>
          <w:rFonts w:ascii="Arial" w:hAnsi="Arial" w:cs="Arial"/>
          <w:i/>
          <w:iCs/>
          <w:sz w:val="20"/>
          <w:szCs w:val="20"/>
        </w:rPr>
        <w:t xml:space="preserve"> with your medical necessity letter, </w:t>
      </w:r>
      <w:r w:rsidR="000E7DC5" w:rsidRPr="00BC2C91">
        <w:rPr>
          <w:rFonts w:ascii="Arial" w:hAnsi="Arial" w:cs="Arial"/>
          <w:i/>
          <w:iCs/>
          <w:sz w:val="20"/>
          <w:szCs w:val="20"/>
        </w:rPr>
        <w:t>as supporting evidence</w:t>
      </w:r>
      <w:r w:rsidR="009A4F28">
        <w:rPr>
          <w:rFonts w:ascii="Arial" w:hAnsi="Arial" w:cs="Arial"/>
          <w:i/>
          <w:iCs/>
          <w:sz w:val="20"/>
          <w:szCs w:val="20"/>
        </w:rPr>
        <w:t xml:space="preserve"> given the appropriate patient case</w:t>
      </w:r>
      <w:r w:rsidR="000E7DC5" w:rsidRPr="00BC2C91">
        <w:rPr>
          <w:rFonts w:ascii="Arial" w:hAnsi="Arial" w:cs="Arial"/>
          <w:i/>
          <w:iCs/>
          <w:sz w:val="20"/>
          <w:szCs w:val="20"/>
        </w:rPr>
        <w:t>. The literature below describe data that is consistent with FDA</w:t>
      </w:r>
      <w:r w:rsidR="00740130" w:rsidRPr="00BC2C91">
        <w:rPr>
          <w:rFonts w:ascii="Arial" w:hAnsi="Arial" w:cs="Arial"/>
          <w:i/>
          <w:iCs/>
          <w:sz w:val="20"/>
          <w:szCs w:val="20"/>
        </w:rPr>
        <w:t xml:space="preserve"> required </w:t>
      </w:r>
      <w:r w:rsidR="00ED4887" w:rsidRPr="00BC2C91">
        <w:rPr>
          <w:rFonts w:ascii="Arial" w:hAnsi="Arial" w:cs="Arial"/>
          <w:i/>
          <w:iCs/>
          <w:sz w:val="20"/>
          <w:szCs w:val="20"/>
        </w:rPr>
        <w:t xml:space="preserve">label </w:t>
      </w:r>
      <w:r w:rsidR="009A4F28">
        <w:rPr>
          <w:rFonts w:ascii="Arial" w:hAnsi="Arial" w:cs="Arial"/>
          <w:i/>
          <w:iCs/>
          <w:sz w:val="20"/>
          <w:szCs w:val="20"/>
        </w:rPr>
        <w:t>and</w:t>
      </w:r>
      <w:r w:rsidR="00ED4887" w:rsidRPr="00BC2C91">
        <w:rPr>
          <w:rFonts w:ascii="Arial" w:hAnsi="Arial" w:cs="Arial"/>
          <w:i/>
          <w:iCs/>
          <w:sz w:val="20"/>
          <w:szCs w:val="20"/>
        </w:rPr>
        <w:t xml:space="preserve"> supplemental to the </w:t>
      </w:r>
      <w:r w:rsidR="00BC2C91" w:rsidRPr="00BC2C91">
        <w:rPr>
          <w:rFonts w:ascii="Arial" w:hAnsi="Arial" w:cs="Arial"/>
          <w:i/>
          <w:iCs/>
          <w:sz w:val="20"/>
          <w:szCs w:val="20"/>
        </w:rPr>
        <w:t xml:space="preserve">data described from </w:t>
      </w:r>
      <w:r w:rsidR="00ED4887" w:rsidRPr="00BC2C91">
        <w:rPr>
          <w:rFonts w:ascii="Arial" w:hAnsi="Arial" w:cs="Arial"/>
          <w:i/>
          <w:iCs/>
          <w:sz w:val="20"/>
          <w:szCs w:val="20"/>
        </w:rPr>
        <w:t xml:space="preserve">pivotal phase </w:t>
      </w:r>
      <w:r w:rsidR="00BC2C91" w:rsidRPr="00BC2C91">
        <w:rPr>
          <w:rFonts w:ascii="Arial" w:hAnsi="Arial" w:cs="Arial"/>
          <w:i/>
          <w:iCs/>
          <w:sz w:val="20"/>
          <w:szCs w:val="20"/>
        </w:rPr>
        <w:t>3 trials</w:t>
      </w:r>
      <w:r w:rsidR="009A4F28">
        <w:rPr>
          <w:rFonts w:ascii="Arial" w:hAnsi="Arial" w:cs="Arial"/>
          <w:i/>
          <w:iCs/>
          <w:sz w:val="20"/>
          <w:szCs w:val="20"/>
        </w:rPr>
        <w:t xml:space="preserve"> in the prescribing information</w:t>
      </w:r>
      <w:r w:rsidR="00BC2C91" w:rsidRPr="00BC2C91">
        <w:rPr>
          <w:rFonts w:ascii="Arial" w:hAnsi="Arial" w:cs="Arial"/>
          <w:i/>
          <w:iCs/>
          <w:sz w:val="20"/>
          <w:szCs w:val="20"/>
        </w:rPr>
        <w:t xml:space="preserve">. </w:t>
      </w:r>
    </w:p>
    <w:p w14:paraId="78E49C12" w14:textId="77777777" w:rsidR="00856935" w:rsidRDefault="00856935" w:rsidP="008775F6">
      <w:pPr>
        <w:rPr>
          <w:rFonts w:ascii="Arial" w:hAnsi="Arial" w:cs="Arial"/>
          <w:i/>
          <w:iCs/>
          <w:sz w:val="20"/>
          <w:szCs w:val="20"/>
        </w:rPr>
      </w:pPr>
    </w:p>
    <w:p w14:paraId="42E92644" w14:textId="77777777" w:rsidR="00DB351A" w:rsidRDefault="00DB351A" w:rsidP="008775F6">
      <w:pPr>
        <w:rPr>
          <w:rFonts w:ascii="Arial" w:hAnsi="Arial" w:cs="Arial"/>
          <w:i/>
          <w:iCs/>
          <w:sz w:val="20"/>
          <w:szCs w:val="20"/>
        </w:rPr>
      </w:pPr>
    </w:p>
    <w:p w14:paraId="246C9C93" w14:textId="6E82F1A4" w:rsidR="00856935" w:rsidRDefault="00000000" w:rsidP="00856935">
      <w:pPr>
        <w:pStyle w:val="TEXT"/>
        <w:rPr>
          <w:rFonts w:eastAsia="Calibri"/>
          <w:b/>
          <w:bCs/>
          <w:color w:val="000000"/>
        </w:rPr>
      </w:pPr>
      <w:sdt>
        <w:sdtPr>
          <w:rPr>
            <w:color w:val="FF0000"/>
          </w:rPr>
          <w:id w:val="-2103719354"/>
        </w:sdtPr>
        <w:sdtContent>
          <w:r w:rsidR="11D45512" w:rsidRPr="1C2B9B9B">
            <w:rPr>
              <w:rFonts w:ascii="Segoe UI Symbol" w:eastAsia="MS Gothic" w:hAnsi="Segoe UI Symbol" w:cs="Segoe UI Symbol"/>
              <w:b/>
              <w:bCs/>
              <w:color w:val="000000" w:themeColor="text1"/>
            </w:rPr>
            <w:t>☐</w:t>
          </w:r>
        </w:sdtContent>
      </w:sdt>
      <w:r w:rsidR="11D45512" w:rsidRPr="1C2B9B9B">
        <w:rPr>
          <w:color w:val="FF0000"/>
        </w:rPr>
        <w:t xml:space="preserve"> </w:t>
      </w:r>
      <w:r w:rsidR="11D45512" w:rsidRPr="1C2B9B9B">
        <w:rPr>
          <w:rFonts w:eastAsia="Calibri"/>
          <w:b/>
          <w:bCs/>
          <w:color w:val="000000" w:themeColor="text1"/>
        </w:rPr>
        <w:t xml:space="preserve">Clinical efficacy and safety in pivotal trials </w:t>
      </w:r>
    </w:p>
    <w:p w14:paraId="08FFCE11" w14:textId="77777777" w:rsidR="007C75A4" w:rsidRDefault="007C75A4" w:rsidP="00856935">
      <w:pPr>
        <w:pStyle w:val="TEXT"/>
        <w:rPr>
          <w:rFonts w:eastAsia="Calibri"/>
          <w:b/>
          <w:bCs/>
          <w:color w:val="000000"/>
        </w:rPr>
      </w:pPr>
    </w:p>
    <w:p w14:paraId="39C7066B" w14:textId="7EB9C70C" w:rsidR="002D77DE" w:rsidRDefault="002D77DE" w:rsidP="00451F18">
      <w:pPr>
        <w:pStyle w:val="ListParagraph"/>
        <w:numPr>
          <w:ilvl w:val="0"/>
          <w:numId w:val="20"/>
        </w:numPr>
        <w:rPr>
          <w:rFonts w:ascii="Arial" w:hAnsi="Arial" w:cs="Arial"/>
          <w:sz w:val="20"/>
          <w:szCs w:val="20"/>
        </w:rPr>
      </w:pPr>
      <w:r w:rsidRPr="002D77DE">
        <w:rPr>
          <w:rFonts w:ascii="Arial" w:hAnsi="Arial" w:cs="Arial"/>
          <w:sz w:val="20"/>
          <w:szCs w:val="20"/>
        </w:rPr>
        <w:t xml:space="preserve">The safety and efficacy of once daily use of </w:t>
      </w:r>
      <w:r>
        <w:rPr>
          <w:rFonts w:ascii="Arial" w:hAnsi="Arial" w:cs="Arial"/>
          <w:sz w:val="20"/>
          <w:szCs w:val="20"/>
        </w:rPr>
        <w:t>J</w:t>
      </w:r>
      <w:r w:rsidR="0092158F">
        <w:rPr>
          <w:rFonts w:ascii="Arial" w:hAnsi="Arial" w:cs="Arial"/>
          <w:sz w:val="20"/>
          <w:szCs w:val="20"/>
        </w:rPr>
        <w:t>UBLIA</w:t>
      </w:r>
      <w:r w:rsidRPr="1C2B9B9B">
        <w:rPr>
          <w:rFonts w:ascii="Arial" w:hAnsi="Arial" w:cs="Arial"/>
          <w:sz w:val="20"/>
          <w:szCs w:val="20"/>
          <w:vertAlign w:val="superscript"/>
        </w:rPr>
        <w:t>®</w:t>
      </w:r>
      <w:r w:rsidRPr="002D77DE">
        <w:rPr>
          <w:rFonts w:ascii="Arial" w:hAnsi="Arial" w:cs="Arial"/>
          <w:sz w:val="20"/>
          <w:szCs w:val="20"/>
        </w:rPr>
        <w:t xml:space="preserve"> for the treatment of onychomycosis of the toenail were assessed in two 52-week prospective, multicenter, randomized, double-blind clinical trials in subjects 18 years and older (18 to 70 years of age) with 20% to 50% clinical involvement of the target toenail, without </w:t>
      </w:r>
      <w:proofErr w:type="spellStart"/>
      <w:r w:rsidRPr="002D77DE">
        <w:rPr>
          <w:rFonts w:ascii="Arial" w:hAnsi="Arial" w:cs="Arial"/>
          <w:sz w:val="20"/>
          <w:szCs w:val="20"/>
        </w:rPr>
        <w:t>dermatophytomas</w:t>
      </w:r>
      <w:proofErr w:type="spellEnd"/>
      <w:r w:rsidRPr="002D77DE">
        <w:rPr>
          <w:rFonts w:ascii="Arial" w:hAnsi="Arial" w:cs="Arial"/>
          <w:sz w:val="20"/>
          <w:szCs w:val="20"/>
        </w:rPr>
        <w:t xml:space="preserve"> or lunula (matrix) involvement. The trials compared 48 weeks of treatment with </w:t>
      </w:r>
      <w:r>
        <w:rPr>
          <w:rFonts w:ascii="Arial" w:hAnsi="Arial" w:cs="Arial"/>
          <w:sz w:val="20"/>
          <w:szCs w:val="20"/>
        </w:rPr>
        <w:t>J</w:t>
      </w:r>
      <w:r w:rsidR="0092158F">
        <w:rPr>
          <w:rFonts w:ascii="Arial" w:hAnsi="Arial" w:cs="Arial"/>
          <w:sz w:val="20"/>
          <w:szCs w:val="20"/>
        </w:rPr>
        <w:t>UBLIA</w:t>
      </w:r>
      <w:r w:rsidRPr="1C2B9B9B">
        <w:rPr>
          <w:rFonts w:ascii="Arial" w:hAnsi="Arial" w:cs="Arial"/>
          <w:sz w:val="20"/>
          <w:szCs w:val="20"/>
          <w:vertAlign w:val="superscript"/>
        </w:rPr>
        <w:t>®</w:t>
      </w:r>
      <w:r>
        <w:rPr>
          <w:rFonts w:ascii="Arial" w:hAnsi="Arial" w:cs="Arial"/>
          <w:sz w:val="20"/>
          <w:szCs w:val="20"/>
          <w:vertAlign w:val="superscript"/>
        </w:rPr>
        <w:t xml:space="preserve"> </w:t>
      </w:r>
      <w:r w:rsidRPr="002D77DE">
        <w:rPr>
          <w:rFonts w:ascii="Arial" w:hAnsi="Arial" w:cs="Arial"/>
          <w:sz w:val="20"/>
          <w:szCs w:val="20"/>
        </w:rPr>
        <w:t>to the vehicle solution. The Complete Cure rate was assessed at Week 52 (4 weeks after completion of therapy). Complete cure was defined as 0% involvement of the target toenail (no clinical evidence of onychomycosis of the target toenail) in addition to Mycologic Cure, defined as both negative fungal culture and negative KOH.</w:t>
      </w:r>
    </w:p>
    <w:p w14:paraId="015E7E94" w14:textId="3298C564" w:rsidR="002D77DE" w:rsidRDefault="002D77DE" w:rsidP="00451F18">
      <w:pPr>
        <w:pStyle w:val="ListParagraph"/>
        <w:numPr>
          <w:ilvl w:val="0"/>
          <w:numId w:val="20"/>
        </w:numPr>
        <w:rPr>
          <w:rFonts w:ascii="Arial" w:hAnsi="Arial" w:cs="Arial"/>
          <w:sz w:val="20"/>
          <w:szCs w:val="20"/>
        </w:rPr>
      </w:pPr>
      <w:r>
        <w:rPr>
          <w:rFonts w:ascii="Arial" w:hAnsi="Arial" w:cs="Arial"/>
          <w:sz w:val="20"/>
          <w:szCs w:val="20"/>
        </w:rPr>
        <w:t>In both studies, all efficacy endpoints were met at Week 48. The primary endpoint of complete cure rate was achieved by 17.8% (Trial 1</w:t>
      </w:r>
      <w:r w:rsidR="00B1288C">
        <w:rPr>
          <w:rFonts w:ascii="Arial" w:hAnsi="Arial" w:cs="Arial"/>
          <w:sz w:val="20"/>
          <w:szCs w:val="20"/>
        </w:rPr>
        <w:t>; N=656</w:t>
      </w:r>
      <w:r>
        <w:rPr>
          <w:rFonts w:ascii="Arial" w:hAnsi="Arial" w:cs="Arial"/>
          <w:sz w:val="20"/>
          <w:szCs w:val="20"/>
        </w:rPr>
        <w:t>) and 15.2% (Trial 2</w:t>
      </w:r>
      <w:r w:rsidR="00B1288C">
        <w:rPr>
          <w:rFonts w:ascii="Arial" w:hAnsi="Arial" w:cs="Arial"/>
          <w:sz w:val="20"/>
          <w:szCs w:val="20"/>
        </w:rPr>
        <w:t xml:space="preserve">; </w:t>
      </w:r>
      <w:r w:rsidR="00481863">
        <w:rPr>
          <w:rFonts w:ascii="Arial" w:hAnsi="Arial" w:cs="Arial"/>
          <w:sz w:val="20"/>
          <w:szCs w:val="20"/>
        </w:rPr>
        <w:t>N=</w:t>
      </w:r>
      <w:r w:rsidR="000320DA">
        <w:rPr>
          <w:rFonts w:ascii="Arial" w:hAnsi="Arial" w:cs="Arial"/>
          <w:sz w:val="20"/>
          <w:szCs w:val="20"/>
        </w:rPr>
        <w:t>214</w:t>
      </w:r>
      <w:r>
        <w:rPr>
          <w:rFonts w:ascii="Arial" w:hAnsi="Arial" w:cs="Arial"/>
          <w:sz w:val="20"/>
          <w:szCs w:val="20"/>
        </w:rPr>
        <w:t>) of subjects who received J</w:t>
      </w:r>
      <w:r w:rsidR="0092158F">
        <w:rPr>
          <w:rFonts w:ascii="Arial" w:hAnsi="Arial" w:cs="Arial"/>
          <w:sz w:val="20"/>
          <w:szCs w:val="20"/>
        </w:rPr>
        <w:t>UBLIA</w:t>
      </w:r>
      <w:r w:rsidRPr="1C2B9B9B">
        <w:rPr>
          <w:rFonts w:ascii="Arial" w:hAnsi="Arial" w:cs="Arial"/>
          <w:sz w:val="20"/>
          <w:szCs w:val="20"/>
          <w:vertAlign w:val="superscript"/>
        </w:rPr>
        <w:t>®</w:t>
      </w:r>
      <w:r>
        <w:rPr>
          <w:rFonts w:ascii="Arial" w:hAnsi="Arial" w:cs="Arial"/>
          <w:sz w:val="20"/>
          <w:szCs w:val="20"/>
          <w:vertAlign w:val="superscript"/>
        </w:rPr>
        <w:t xml:space="preserve"> </w:t>
      </w:r>
      <w:r>
        <w:rPr>
          <w:rFonts w:ascii="Arial" w:hAnsi="Arial" w:cs="Arial"/>
          <w:sz w:val="20"/>
          <w:szCs w:val="20"/>
        </w:rPr>
        <w:t xml:space="preserve">compared to 3.3% </w:t>
      </w:r>
      <w:r w:rsidR="000320DA">
        <w:rPr>
          <w:rFonts w:ascii="Arial" w:hAnsi="Arial" w:cs="Arial"/>
          <w:sz w:val="20"/>
          <w:szCs w:val="20"/>
        </w:rPr>
        <w:t xml:space="preserve">(N=580) </w:t>
      </w:r>
      <w:r>
        <w:rPr>
          <w:rFonts w:ascii="Arial" w:hAnsi="Arial" w:cs="Arial"/>
          <w:sz w:val="20"/>
          <w:szCs w:val="20"/>
        </w:rPr>
        <w:t xml:space="preserve">and 5.5% </w:t>
      </w:r>
      <w:r w:rsidR="00DC5AFC">
        <w:rPr>
          <w:rFonts w:ascii="Arial" w:hAnsi="Arial" w:cs="Arial"/>
          <w:sz w:val="20"/>
          <w:szCs w:val="20"/>
        </w:rPr>
        <w:t xml:space="preserve">(N=201) </w:t>
      </w:r>
      <w:r>
        <w:rPr>
          <w:rFonts w:ascii="Arial" w:hAnsi="Arial" w:cs="Arial"/>
          <w:sz w:val="20"/>
          <w:szCs w:val="20"/>
        </w:rPr>
        <w:t xml:space="preserve">of patients in the vehicle group, respectively (both </w:t>
      </w:r>
      <w:r>
        <w:rPr>
          <w:rFonts w:ascii="Arial" w:hAnsi="Arial" w:cs="Arial"/>
          <w:i/>
          <w:iCs/>
          <w:sz w:val="20"/>
          <w:szCs w:val="20"/>
        </w:rPr>
        <w:t>P&lt;</w:t>
      </w:r>
      <w:r>
        <w:rPr>
          <w:rFonts w:ascii="Arial" w:hAnsi="Arial" w:cs="Arial"/>
          <w:sz w:val="20"/>
          <w:szCs w:val="20"/>
        </w:rPr>
        <w:t xml:space="preserve">0.001). </w:t>
      </w:r>
    </w:p>
    <w:p w14:paraId="7E916B8C" w14:textId="4196B111" w:rsidR="00BA2DF8" w:rsidRPr="00D84FF9" w:rsidRDefault="004519BD" w:rsidP="00CE2599">
      <w:pPr>
        <w:pStyle w:val="ListParagraph"/>
        <w:numPr>
          <w:ilvl w:val="0"/>
          <w:numId w:val="20"/>
        </w:numPr>
        <w:rPr>
          <w:rFonts w:ascii="Arial" w:hAnsi="Arial" w:cs="Arial"/>
          <w:sz w:val="20"/>
          <w:szCs w:val="20"/>
        </w:rPr>
      </w:pPr>
      <w:r w:rsidRPr="00D84FF9">
        <w:rPr>
          <w:rFonts w:ascii="Arial" w:hAnsi="Arial" w:cs="Arial"/>
          <w:sz w:val="20"/>
          <w:szCs w:val="20"/>
        </w:rPr>
        <w:t>A greater proportion of patients in the J</w:t>
      </w:r>
      <w:r w:rsidR="0092158F">
        <w:rPr>
          <w:rFonts w:ascii="Arial" w:hAnsi="Arial" w:cs="Arial"/>
          <w:sz w:val="20"/>
          <w:szCs w:val="20"/>
        </w:rPr>
        <w:t>UBLIA</w:t>
      </w:r>
      <w:r w:rsidRPr="00D84FF9">
        <w:rPr>
          <w:rFonts w:ascii="Arial" w:hAnsi="Arial" w:cs="Arial"/>
          <w:sz w:val="20"/>
          <w:szCs w:val="20"/>
          <w:vertAlign w:val="superscript"/>
        </w:rPr>
        <w:t xml:space="preserve">® </w:t>
      </w:r>
      <w:r w:rsidRPr="00D84FF9">
        <w:rPr>
          <w:rFonts w:ascii="Arial" w:hAnsi="Arial" w:cs="Arial"/>
          <w:sz w:val="20"/>
          <w:szCs w:val="20"/>
        </w:rPr>
        <w:t xml:space="preserve">group reported treatment emergent adverse events (TEAEs) versus vehicle. </w:t>
      </w:r>
      <w:r w:rsidR="00D84FF9" w:rsidRPr="00D84FF9">
        <w:rPr>
          <w:rFonts w:ascii="Arial" w:hAnsi="Arial" w:cs="Arial"/>
          <w:sz w:val="20"/>
          <w:szCs w:val="20"/>
        </w:rPr>
        <w:t>The most common adverse reactions (incidence &gt;1%) were ingrown toenails, application site dermatitis, application site vesicles, and application site pain</w:t>
      </w:r>
      <w:bookmarkStart w:id="0" w:name="_Hlk199916307"/>
      <w:r w:rsidR="00EF47F8">
        <w:rPr>
          <w:rFonts w:ascii="Arial" w:hAnsi="Arial" w:cs="Arial"/>
          <w:sz w:val="20"/>
          <w:szCs w:val="20"/>
        </w:rPr>
        <w:t>.</w:t>
      </w:r>
    </w:p>
    <w:p w14:paraId="1B16D46A" w14:textId="634FC502" w:rsidR="00EC76CF" w:rsidRDefault="00EC76CF" w:rsidP="00EC76CF">
      <w:pPr>
        <w:rPr>
          <w:rFonts w:ascii="Arial" w:hAnsi="Arial" w:cs="Arial"/>
          <w:sz w:val="20"/>
          <w:szCs w:val="20"/>
        </w:rPr>
      </w:pPr>
      <w:r w:rsidRPr="00EC76CF">
        <w:rPr>
          <w:rFonts w:ascii="Arial" w:hAnsi="Arial" w:cs="Arial"/>
          <w:sz w:val="20"/>
          <w:szCs w:val="20"/>
        </w:rPr>
        <w:lastRenderedPageBreak/>
        <w:t>Please see full article for more information:</w:t>
      </w:r>
    </w:p>
    <w:p w14:paraId="4E7B0666" w14:textId="4715EC29" w:rsidR="00EC76CF" w:rsidRDefault="004519BD" w:rsidP="00EC76CF">
      <w:pPr>
        <w:pStyle w:val="ListParagraph"/>
        <w:numPr>
          <w:ilvl w:val="0"/>
          <w:numId w:val="23"/>
        </w:numPr>
        <w:rPr>
          <w:rFonts w:ascii="Arial" w:hAnsi="Arial" w:cs="Arial"/>
          <w:sz w:val="20"/>
          <w:szCs w:val="20"/>
        </w:rPr>
      </w:pPr>
      <w:proofErr w:type="spellStart"/>
      <w:r>
        <w:rPr>
          <w:rFonts w:ascii="Arial" w:hAnsi="Arial" w:cs="Arial"/>
          <w:sz w:val="20"/>
          <w:szCs w:val="20"/>
        </w:rPr>
        <w:t>Elewski</w:t>
      </w:r>
      <w:proofErr w:type="spellEnd"/>
      <w:r>
        <w:rPr>
          <w:rFonts w:ascii="Arial" w:hAnsi="Arial" w:cs="Arial"/>
          <w:sz w:val="20"/>
          <w:szCs w:val="20"/>
        </w:rPr>
        <w:t xml:space="preserve"> BE, et al. J Am </w:t>
      </w:r>
      <w:proofErr w:type="spellStart"/>
      <w:r>
        <w:rPr>
          <w:rFonts w:ascii="Arial" w:hAnsi="Arial" w:cs="Arial"/>
          <w:sz w:val="20"/>
          <w:szCs w:val="20"/>
        </w:rPr>
        <w:t>Acad</w:t>
      </w:r>
      <w:proofErr w:type="spellEnd"/>
      <w:r>
        <w:rPr>
          <w:rFonts w:ascii="Arial" w:hAnsi="Arial" w:cs="Arial"/>
          <w:sz w:val="20"/>
          <w:szCs w:val="20"/>
        </w:rPr>
        <w:t xml:space="preserve"> Dermatol. 2013;68(4):600-608.</w:t>
      </w:r>
    </w:p>
    <w:p w14:paraId="1F80F7AF" w14:textId="29170942" w:rsidR="005E1571" w:rsidRPr="00580EFA" w:rsidRDefault="005E1571" w:rsidP="00EC76CF">
      <w:pPr>
        <w:pStyle w:val="ListParagraph"/>
        <w:numPr>
          <w:ilvl w:val="0"/>
          <w:numId w:val="23"/>
        </w:numPr>
        <w:rPr>
          <w:rFonts w:ascii="Arial" w:hAnsi="Arial" w:cs="Arial"/>
          <w:sz w:val="20"/>
          <w:szCs w:val="20"/>
        </w:rPr>
      </w:pPr>
      <w:r w:rsidRPr="00580EFA">
        <w:rPr>
          <w:rFonts w:ascii="Arial" w:hAnsi="Arial" w:cs="Arial"/>
          <w:sz w:val="20"/>
          <w:szCs w:val="20"/>
        </w:rPr>
        <w:t>JUBLIA</w:t>
      </w:r>
      <w:r w:rsidRPr="00580EFA">
        <w:rPr>
          <w:rFonts w:ascii="Arial" w:hAnsi="Arial" w:cs="Arial"/>
          <w:sz w:val="20"/>
          <w:szCs w:val="20"/>
          <w:vertAlign w:val="superscript"/>
        </w:rPr>
        <w:t>®</w:t>
      </w:r>
      <w:r w:rsidRPr="00580EFA">
        <w:rPr>
          <w:rFonts w:ascii="Arial" w:hAnsi="Arial" w:cs="Arial"/>
          <w:sz w:val="20"/>
          <w:szCs w:val="20"/>
        </w:rPr>
        <w:t xml:space="preserve"> [prescribing information]. Bridgewater, NJ: Bausch Health US, LLC.</w:t>
      </w:r>
    </w:p>
    <w:bookmarkEnd w:id="0"/>
    <w:p w14:paraId="37EF9A79" w14:textId="14172DDB" w:rsidR="00D54D86" w:rsidRDefault="00000000" w:rsidP="003E6FBB">
      <w:pPr>
        <w:pStyle w:val="TEXT"/>
        <w:rPr>
          <w:rFonts w:eastAsia="Calibri"/>
          <w:b/>
          <w:bCs/>
          <w:color w:val="000000"/>
        </w:rPr>
      </w:pPr>
      <w:sdt>
        <w:sdtPr>
          <w:rPr>
            <w:color w:val="FF0000"/>
          </w:rPr>
          <w:id w:val="-880319482"/>
        </w:sdtPr>
        <w:sdtContent>
          <w:r w:rsidR="00D54D86" w:rsidRPr="003D1332">
            <w:rPr>
              <w:rFonts w:ascii="Segoe UI Symbol" w:eastAsia="MS Gothic" w:hAnsi="Segoe UI Symbol" w:cs="Segoe UI Symbol"/>
              <w:b/>
              <w:color w:val="000000" w:themeColor="text1"/>
            </w:rPr>
            <w:t>☐</w:t>
          </w:r>
        </w:sdtContent>
      </w:sdt>
      <w:r w:rsidR="00D54D86" w:rsidRPr="00136ED3">
        <w:rPr>
          <w:color w:val="FF0000"/>
        </w:rPr>
        <w:t xml:space="preserve"> </w:t>
      </w:r>
      <w:r w:rsidR="00D54D86" w:rsidRPr="00136ED3">
        <w:rPr>
          <w:rFonts w:eastAsia="Calibri"/>
          <w:b/>
          <w:bCs/>
          <w:color w:val="000000"/>
        </w:rPr>
        <w:t>Mechanism of Action</w:t>
      </w:r>
    </w:p>
    <w:p w14:paraId="25CC72EF" w14:textId="6E78AA8B" w:rsidR="004519BD" w:rsidRDefault="004519BD" w:rsidP="00547D98">
      <w:pPr>
        <w:pStyle w:val="TEXT"/>
      </w:pPr>
      <w:r>
        <w:t>J</w:t>
      </w:r>
      <w:r w:rsidR="0092158F">
        <w:t>UBLIA</w:t>
      </w:r>
      <w:r w:rsidRPr="1C2B9B9B">
        <w:rPr>
          <w:vertAlign w:val="superscript"/>
        </w:rPr>
        <w:t>®</w:t>
      </w:r>
      <w:r>
        <w:rPr>
          <w:vertAlign w:val="superscript"/>
        </w:rPr>
        <w:t xml:space="preserve"> </w:t>
      </w:r>
      <w:r w:rsidRPr="004519BD">
        <w:t xml:space="preserve">is an azole antifungal. </w:t>
      </w:r>
      <w:r>
        <w:t>J</w:t>
      </w:r>
      <w:r w:rsidR="0092158F">
        <w:t>UBLIA</w:t>
      </w:r>
      <w:r w:rsidRPr="1C2B9B9B">
        <w:rPr>
          <w:vertAlign w:val="superscript"/>
        </w:rPr>
        <w:t>®</w:t>
      </w:r>
      <w:r>
        <w:rPr>
          <w:vertAlign w:val="superscript"/>
        </w:rPr>
        <w:t xml:space="preserve"> </w:t>
      </w:r>
      <w:r w:rsidRPr="004519BD">
        <w:t xml:space="preserve">inhibits fungal lanosterol 14α-demethylase involved in the biosynthesis of ergosterol, a constituent of fungal cell membranes. </w:t>
      </w:r>
    </w:p>
    <w:p w14:paraId="4D246D6F" w14:textId="16201A9F" w:rsidR="004519BD" w:rsidRDefault="004519BD" w:rsidP="00547D98">
      <w:pPr>
        <w:pStyle w:val="TEXT"/>
      </w:pPr>
      <w:r>
        <w:t>J</w:t>
      </w:r>
      <w:r w:rsidR="0092158F">
        <w:t>UBLIA</w:t>
      </w:r>
      <w:r w:rsidRPr="1C2B9B9B">
        <w:rPr>
          <w:vertAlign w:val="superscript"/>
        </w:rPr>
        <w:t>®</w:t>
      </w:r>
      <w:r w:rsidRPr="004519BD">
        <w:t xml:space="preserve"> has been shown to be active against isolates of the following microorganisms, both in vitro and in clinical infections. </w:t>
      </w:r>
      <w:r>
        <w:t>J</w:t>
      </w:r>
      <w:r w:rsidR="0092158F">
        <w:t>UBLIA</w:t>
      </w:r>
      <w:r w:rsidRPr="1C2B9B9B">
        <w:rPr>
          <w:vertAlign w:val="superscript"/>
        </w:rPr>
        <w:t>®</w:t>
      </w:r>
      <w:r>
        <w:rPr>
          <w:vertAlign w:val="superscript"/>
        </w:rPr>
        <w:t xml:space="preserve"> </w:t>
      </w:r>
      <w:r w:rsidRPr="004519BD">
        <w:t xml:space="preserve">exhibits in vitro minimum inhibitory concentrations (MICs) of 0.06 mcg/mL or less against most (≥90%) isolates of the following microorganisms: </w:t>
      </w:r>
    </w:p>
    <w:p w14:paraId="65BD0E34" w14:textId="77777777" w:rsidR="004519BD" w:rsidRDefault="004519BD" w:rsidP="00E72BDA">
      <w:pPr>
        <w:pStyle w:val="TEXT"/>
        <w:ind w:firstLine="360"/>
      </w:pPr>
      <w:r w:rsidRPr="004519BD">
        <w:t xml:space="preserve">Trichophyton rubrum </w:t>
      </w:r>
    </w:p>
    <w:p w14:paraId="6B178721" w14:textId="43DA5B2A" w:rsidR="004519BD" w:rsidRDefault="004519BD" w:rsidP="00E72BDA">
      <w:pPr>
        <w:pStyle w:val="TEXT"/>
        <w:ind w:firstLine="360"/>
      </w:pPr>
      <w:r w:rsidRPr="004519BD">
        <w:t xml:space="preserve">Trichophyton mentagrophytes </w:t>
      </w:r>
    </w:p>
    <w:p w14:paraId="7E668163" w14:textId="77777777" w:rsidR="004519BD" w:rsidRPr="00EC76CF" w:rsidRDefault="004519BD" w:rsidP="008F4E90">
      <w:pPr>
        <w:pStyle w:val="TEXT"/>
        <w:ind w:firstLine="360"/>
        <w:rPr>
          <w:vertAlign w:val="superscript"/>
        </w:rPr>
      </w:pPr>
    </w:p>
    <w:p w14:paraId="67BDB97C" w14:textId="403DB3A8" w:rsidR="003B7025" w:rsidRDefault="003B7025" w:rsidP="008F4E90">
      <w:pPr>
        <w:pStyle w:val="TEXT"/>
        <w:ind w:firstLine="360"/>
      </w:pPr>
      <w:bookmarkStart w:id="1" w:name="_Hlk199917286"/>
      <w:r w:rsidRPr="00972CD7">
        <w:t>Please see full article for more information:</w:t>
      </w:r>
    </w:p>
    <w:bookmarkEnd w:id="1"/>
    <w:p w14:paraId="513A5C5A" w14:textId="28159F09" w:rsidR="006B407B" w:rsidRDefault="004519BD" w:rsidP="003B7025">
      <w:pPr>
        <w:pStyle w:val="TEXT"/>
        <w:numPr>
          <w:ilvl w:val="0"/>
          <w:numId w:val="14"/>
        </w:numPr>
      </w:pPr>
      <w:r>
        <w:t>J</w:t>
      </w:r>
      <w:r w:rsidR="0092158F">
        <w:t>UBLIA</w:t>
      </w:r>
      <w:r w:rsidR="009277D6" w:rsidRPr="001D7581">
        <w:rPr>
          <w:vertAlign w:val="superscript"/>
        </w:rPr>
        <w:t>®</w:t>
      </w:r>
      <w:r w:rsidR="009277D6">
        <w:t xml:space="preserve"> </w:t>
      </w:r>
      <w:r w:rsidR="000C0BA6">
        <w:t>[prescribing information]. Bridgewater, NJ: Ba</w:t>
      </w:r>
      <w:r w:rsidR="00856935">
        <w:t>us</w:t>
      </w:r>
      <w:r w:rsidR="000C0BA6">
        <w:t>ch Health US, LLC.</w:t>
      </w:r>
    </w:p>
    <w:p w14:paraId="49208445" w14:textId="77777777" w:rsidR="00856935" w:rsidRPr="00A277F6" w:rsidRDefault="00856935" w:rsidP="00856935">
      <w:pPr>
        <w:pStyle w:val="TEXT"/>
        <w:ind w:left="720"/>
        <w:rPr>
          <w:rFonts w:eastAsia="Calibri"/>
          <w:b/>
          <w:bCs/>
          <w:color w:val="000000"/>
        </w:rPr>
      </w:pPr>
    </w:p>
    <w:p w14:paraId="1BCB9B57" w14:textId="5C4543FF" w:rsidR="0073083E" w:rsidRPr="00E04982" w:rsidRDefault="00000000" w:rsidP="0073083E">
      <w:pPr>
        <w:pStyle w:val="TEXT"/>
        <w:rPr>
          <w:rFonts w:eastAsia="Calibri"/>
          <w:b/>
          <w:bCs/>
          <w:color w:val="000000"/>
        </w:rPr>
      </w:pPr>
      <w:sdt>
        <w:sdtPr>
          <w:rPr>
            <w:b/>
            <w:bCs/>
            <w:color w:val="FF0000"/>
          </w:rPr>
          <w:id w:val="847297286"/>
        </w:sdtPr>
        <w:sdtContent>
          <w:r w:rsidR="0073083E" w:rsidRPr="00E04982">
            <w:rPr>
              <w:rFonts w:ascii="Segoe UI Symbol" w:eastAsia="MS Gothic" w:hAnsi="Segoe UI Symbol" w:cs="Segoe UI Symbol"/>
              <w:b/>
              <w:bCs/>
              <w:color w:val="000000" w:themeColor="text1"/>
            </w:rPr>
            <w:t>☐</w:t>
          </w:r>
        </w:sdtContent>
      </w:sdt>
      <w:r w:rsidR="0073083E" w:rsidRPr="008F4E90">
        <w:rPr>
          <w:b/>
          <w:bCs/>
          <w:color w:val="FF0000"/>
        </w:rPr>
        <w:t xml:space="preserve"> </w:t>
      </w:r>
      <w:r w:rsidR="00E04982" w:rsidRPr="00E04982">
        <w:rPr>
          <w:b/>
          <w:bCs/>
        </w:rPr>
        <w:t xml:space="preserve">Long Term </w:t>
      </w:r>
      <w:r w:rsidR="00E04982">
        <w:rPr>
          <w:b/>
          <w:bCs/>
        </w:rPr>
        <w:t>Use</w:t>
      </w:r>
      <w:r w:rsidR="00E04982" w:rsidRPr="00E04982">
        <w:rPr>
          <w:b/>
          <w:bCs/>
        </w:rPr>
        <w:t xml:space="preserve"> of</w:t>
      </w:r>
      <w:r w:rsidR="00856935" w:rsidRPr="00E04982">
        <w:rPr>
          <w:rFonts w:eastAsia="Calibri"/>
          <w:b/>
          <w:bCs/>
          <w:color w:val="000000"/>
        </w:rPr>
        <w:t xml:space="preserve"> </w:t>
      </w:r>
      <w:r w:rsidR="00E04982" w:rsidRPr="008F4E90">
        <w:rPr>
          <w:b/>
          <w:bCs/>
        </w:rPr>
        <w:t>J</w:t>
      </w:r>
      <w:r w:rsidR="00D53F80">
        <w:rPr>
          <w:b/>
          <w:bCs/>
        </w:rPr>
        <w:t>UBLIA</w:t>
      </w:r>
      <w:r w:rsidR="00E04982" w:rsidRPr="008F4E90">
        <w:rPr>
          <w:b/>
          <w:bCs/>
          <w:vertAlign w:val="superscript"/>
        </w:rPr>
        <w:t>®</w:t>
      </w:r>
    </w:p>
    <w:p w14:paraId="4AD142F9" w14:textId="77777777" w:rsidR="00EC76CF" w:rsidRDefault="00EC76CF" w:rsidP="00EC76CF">
      <w:pPr>
        <w:pStyle w:val="TEXT"/>
      </w:pPr>
    </w:p>
    <w:p w14:paraId="4E4627DA" w14:textId="602158C4" w:rsidR="0012501E" w:rsidRDefault="00E04982" w:rsidP="00CC3475">
      <w:pPr>
        <w:pStyle w:val="TEXT"/>
        <w:numPr>
          <w:ilvl w:val="0"/>
          <w:numId w:val="19"/>
        </w:numPr>
      </w:pPr>
      <w:r>
        <w:t>A 72-week, multicenter, open-label, single-arm study in Japan evaluated the efficacy and safety of J</w:t>
      </w:r>
      <w:r w:rsidR="00D53F80">
        <w:t>UBLIA</w:t>
      </w:r>
      <w:r w:rsidRPr="1C2B9B9B">
        <w:rPr>
          <w:vertAlign w:val="superscript"/>
        </w:rPr>
        <w:t>®</w:t>
      </w:r>
      <w:r>
        <w:rPr>
          <w:vertAlign w:val="superscript"/>
        </w:rPr>
        <w:t xml:space="preserve"> </w:t>
      </w:r>
      <w:r>
        <w:t>in 219 adults of which included 139 patients with onychomycosis and 80 patients with severe onychomycosis clinically involving 20-50</w:t>
      </w:r>
      <w:r w:rsidR="002869CC">
        <w:t>%</w:t>
      </w:r>
      <w:r>
        <w:t xml:space="preserve"> and &gt;50%, respectively, of the great toenail. Efficacy and safety assessments were evaluated at Weeks 12, 24, 36, 48, 60, and 72 with </w:t>
      </w:r>
      <w:r w:rsidR="00B973C3">
        <w:t>complete cure</w:t>
      </w:r>
      <w:r>
        <w:t xml:space="preserve"> defined as </w:t>
      </w:r>
      <w:r w:rsidR="00593DE8">
        <w:t>0% involvement of the target nail, with negative KOH</w:t>
      </w:r>
      <w:r>
        <w:t xml:space="preserve">. </w:t>
      </w:r>
      <w:r w:rsidR="00B973C3">
        <w:t>Complete cure</w:t>
      </w:r>
      <w:r>
        <w:t xml:space="preserve"> at final assessment at Week 72 was met by </w:t>
      </w:r>
      <w:r w:rsidR="004B4C1F">
        <w:t>35</w:t>
      </w:r>
      <w:r>
        <w:t xml:space="preserve">% of all patients, </w:t>
      </w:r>
      <w:r w:rsidR="004B4C1F">
        <w:t>31</w:t>
      </w:r>
      <w:r>
        <w:t xml:space="preserve">% of patients with 20-50% clinical involvement at baseline, and </w:t>
      </w:r>
      <w:r w:rsidR="004B4C1F">
        <w:t>25</w:t>
      </w:r>
      <w:r>
        <w:t xml:space="preserve">% for those with &gt;50% clinical involvement at baseline. </w:t>
      </w:r>
      <w:r w:rsidR="00C0627C">
        <w:t>The most common adverse events reported by all subjects were: contact dermatitis (5%), application-site irritation (0.9%)</w:t>
      </w:r>
      <w:r w:rsidR="00587C21">
        <w:t xml:space="preserve"> and application-site erythema (0.5%).</w:t>
      </w:r>
      <w:r>
        <w:t xml:space="preserve"> </w:t>
      </w:r>
    </w:p>
    <w:p w14:paraId="3D832532" w14:textId="77777777" w:rsidR="00E04982" w:rsidRPr="00EC76CF" w:rsidRDefault="00E04982" w:rsidP="008F4E90">
      <w:pPr>
        <w:pStyle w:val="TEXT"/>
        <w:ind w:left="720"/>
      </w:pPr>
    </w:p>
    <w:p w14:paraId="74E57BDD" w14:textId="64901906" w:rsidR="00973CD0" w:rsidRDefault="00973CD0" w:rsidP="00973CD0">
      <w:pPr>
        <w:pStyle w:val="TEXT"/>
      </w:pPr>
      <w:r w:rsidRPr="009A00E5">
        <w:t>Please see full article for more information:</w:t>
      </w:r>
    </w:p>
    <w:p w14:paraId="756AB2E8" w14:textId="2667168F" w:rsidR="00EC76CF" w:rsidRPr="00390FB3" w:rsidRDefault="00E04982" w:rsidP="0059575B">
      <w:pPr>
        <w:pStyle w:val="ListParagraph"/>
        <w:numPr>
          <w:ilvl w:val="0"/>
          <w:numId w:val="15"/>
        </w:numPr>
        <w:rPr>
          <w:rFonts w:ascii="Arial" w:hAnsi="Arial" w:cs="Arial"/>
          <w:sz w:val="20"/>
          <w:szCs w:val="20"/>
        </w:rPr>
      </w:pPr>
      <w:proofErr w:type="spellStart"/>
      <w:r w:rsidRPr="00390FB3">
        <w:rPr>
          <w:rFonts w:ascii="Arial" w:hAnsi="Arial" w:cs="Arial"/>
          <w:sz w:val="20"/>
          <w:szCs w:val="20"/>
          <w:lang w:val="fr-FR"/>
        </w:rPr>
        <w:t>Iozumi</w:t>
      </w:r>
      <w:proofErr w:type="spellEnd"/>
      <w:r w:rsidRPr="00390FB3">
        <w:rPr>
          <w:rFonts w:ascii="Arial" w:hAnsi="Arial" w:cs="Arial"/>
          <w:sz w:val="20"/>
          <w:szCs w:val="20"/>
          <w:lang w:val="fr-FR"/>
        </w:rPr>
        <w:t xml:space="preserve"> K, et al. J </w:t>
      </w:r>
      <w:proofErr w:type="spellStart"/>
      <w:r w:rsidRPr="00390FB3">
        <w:rPr>
          <w:rFonts w:ascii="Arial" w:hAnsi="Arial" w:cs="Arial"/>
          <w:sz w:val="20"/>
          <w:szCs w:val="20"/>
          <w:lang w:val="fr-FR"/>
        </w:rPr>
        <w:t>Dermatol</w:t>
      </w:r>
      <w:proofErr w:type="spellEnd"/>
      <w:r w:rsidRPr="00390FB3">
        <w:rPr>
          <w:rFonts w:ascii="Arial" w:hAnsi="Arial" w:cs="Arial"/>
          <w:sz w:val="20"/>
          <w:szCs w:val="20"/>
          <w:lang w:val="fr-FR"/>
        </w:rPr>
        <w:t xml:space="preserve">. </w:t>
      </w:r>
      <w:proofErr w:type="gramStart"/>
      <w:r w:rsidRPr="00390FB3">
        <w:rPr>
          <w:rFonts w:ascii="Arial" w:hAnsi="Arial" w:cs="Arial"/>
          <w:sz w:val="20"/>
          <w:szCs w:val="20"/>
        </w:rPr>
        <w:t>2019;</w:t>
      </w:r>
      <w:proofErr w:type="gramEnd"/>
      <w:r w:rsidRPr="00390FB3">
        <w:rPr>
          <w:rFonts w:ascii="Arial" w:hAnsi="Arial" w:cs="Arial"/>
          <w:sz w:val="20"/>
          <w:szCs w:val="20"/>
        </w:rPr>
        <w:t>46(8):641-651.</w:t>
      </w:r>
    </w:p>
    <w:p w14:paraId="64FD50CC" w14:textId="77777777" w:rsidR="00E15734" w:rsidRDefault="00E15734" w:rsidP="00EC76CF">
      <w:pPr>
        <w:rPr>
          <w:rFonts w:ascii="Arial" w:hAnsi="Arial" w:cs="Arial"/>
          <w:sz w:val="20"/>
          <w:szCs w:val="20"/>
        </w:rPr>
      </w:pPr>
    </w:p>
    <w:p w14:paraId="5A5EBC1E" w14:textId="2DCD240F" w:rsidR="00E15734" w:rsidRDefault="00000000" w:rsidP="00E15734">
      <w:pPr>
        <w:pStyle w:val="TEXT"/>
        <w:rPr>
          <w:b/>
          <w:bCs/>
        </w:rPr>
      </w:pPr>
      <w:sdt>
        <w:sdtPr>
          <w:rPr>
            <w:b/>
            <w:bCs/>
            <w:color w:val="FF0000"/>
          </w:rPr>
          <w:id w:val="-223987465"/>
        </w:sdtPr>
        <w:sdtContent>
          <w:r w:rsidR="00E15734" w:rsidRPr="00E04982">
            <w:rPr>
              <w:rFonts w:ascii="Segoe UI Symbol" w:eastAsia="MS Gothic" w:hAnsi="Segoe UI Symbol" w:cs="Segoe UI Symbol"/>
              <w:b/>
              <w:bCs/>
              <w:color w:val="000000" w:themeColor="text1"/>
            </w:rPr>
            <w:t>☐</w:t>
          </w:r>
        </w:sdtContent>
      </w:sdt>
      <w:r w:rsidR="00E15734" w:rsidRPr="00DA76CF">
        <w:rPr>
          <w:b/>
          <w:bCs/>
          <w:color w:val="FF0000"/>
        </w:rPr>
        <w:t xml:space="preserve"> </w:t>
      </w:r>
      <w:r w:rsidR="00E15734">
        <w:rPr>
          <w:b/>
          <w:bCs/>
        </w:rPr>
        <w:t xml:space="preserve">Use of </w:t>
      </w:r>
      <w:r w:rsidR="00E15734" w:rsidRPr="00DA76CF">
        <w:rPr>
          <w:b/>
          <w:bCs/>
        </w:rPr>
        <w:t>J</w:t>
      </w:r>
      <w:r w:rsidR="00D53F80">
        <w:rPr>
          <w:b/>
          <w:bCs/>
        </w:rPr>
        <w:t>UBLIA</w:t>
      </w:r>
      <w:r w:rsidR="00E15734" w:rsidRPr="00DA76CF">
        <w:rPr>
          <w:b/>
          <w:bCs/>
          <w:vertAlign w:val="superscript"/>
        </w:rPr>
        <w:t>®</w:t>
      </w:r>
      <w:r w:rsidR="00E15734">
        <w:rPr>
          <w:b/>
          <w:bCs/>
          <w:vertAlign w:val="superscript"/>
        </w:rPr>
        <w:t xml:space="preserve"> </w:t>
      </w:r>
      <w:r w:rsidR="00E15734">
        <w:rPr>
          <w:b/>
          <w:bCs/>
        </w:rPr>
        <w:t>in Older Adults</w:t>
      </w:r>
    </w:p>
    <w:p w14:paraId="6E1050F4" w14:textId="77777777" w:rsidR="00E15734" w:rsidRDefault="00E15734" w:rsidP="00E15734">
      <w:pPr>
        <w:pStyle w:val="TEXT"/>
        <w:rPr>
          <w:b/>
          <w:bCs/>
        </w:rPr>
      </w:pPr>
    </w:p>
    <w:p w14:paraId="416CE353" w14:textId="6B102257" w:rsidR="00E27250" w:rsidRPr="00E27250" w:rsidRDefault="00E27250" w:rsidP="00E27250">
      <w:pPr>
        <w:pStyle w:val="ListParagraph"/>
        <w:numPr>
          <w:ilvl w:val="0"/>
          <w:numId w:val="19"/>
        </w:numPr>
        <w:spacing w:after="0" w:line="240" w:lineRule="auto"/>
        <w:textAlignment w:val="baseline"/>
        <w:rPr>
          <w:rFonts w:ascii="Arial" w:hAnsi="Arial" w:cs="Arial"/>
          <w:color w:val="000000"/>
          <w:sz w:val="20"/>
          <w:szCs w:val="20"/>
        </w:rPr>
      </w:pPr>
      <w:r w:rsidRPr="00E27250">
        <w:rPr>
          <w:rFonts w:ascii="Arial" w:hAnsi="Arial" w:cs="Arial"/>
          <w:color w:val="000000"/>
          <w:sz w:val="20"/>
          <w:szCs w:val="20"/>
        </w:rPr>
        <w:t>Of the total number of subjects in clinical trials of JUBLIA, 11.3% were 65 and over, while none were 75 and over. No overall differences in safety and effectiveness were observed between these subjects and younger subjects, and other reported clinical experience has not identified differences in responses between the elderly and the younger subjects, but greater sensitivity of some older individuals cannot be ruled out.</w:t>
      </w:r>
    </w:p>
    <w:p w14:paraId="656E1E3E" w14:textId="63FBEFB7" w:rsidR="00E15734" w:rsidRDefault="003E3EA9" w:rsidP="003E3EA9">
      <w:pPr>
        <w:pStyle w:val="TEXT"/>
        <w:numPr>
          <w:ilvl w:val="0"/>
          <w:numId w:val="19"/>
        </w:numPr>
      </w:pPr>
      <w:r w:rsidRPr="003E3EA9">
        <w:rPr>
          <w:rFonts w:eastAsia="Calibri"/>
          <w:color w:val="000000"/>
        </w:rPr>
        <w:t xml:space="preserve">A post-hoc analysis of two multicenter, double-blind, phase 3 studies (NCT01008033; NCT01007708) evaluated patients with mild to moderate toenail onychomycosis. Pooled participants aged ≥65 years were pooled and analyzed with 3:1 randomization of either </w:t>
      </w:r>
      <w:r w:rsidRPr="003E3EA9">
        <w:t>J</w:t>
      </w:r>
      <w:r w:rsidR="00D53F80">
        <w:t>UBLIA</w:t>
      </w:r>
      <w:r w:rsidRPr="003E3EA9">
        <w:rPr>
          <w:vertAlign w:val="superscript"/>
        </w:rPr>
        <w:t xml:space="preserve">® </w:t>
      </w:r>
      <w:r>
        <w:t xml:space="preserve">(N=162) or vehicle treatment (N=56) for 48 weeks, with a 4-week follow-up. Primary endpoint was complete cure (0% involvement of target toenail plus mycologic cure [negative KOH and fungal culture]) at Week 52. At Week 52, complete cure was met in 13.6% of older adults who received </w:t>
      </w:r>
      <w:r w:rsidRPr="003E3EA9">
        <w:t>J</w:t>
      </w:r>
      <w:r w:rsidR="0092158F">
        <w:t>UBLIA</w:t>
      </w:r>
      <w:r w:rsidRPr="003E3EA9">
        <w:rPr>
          <w:vertAlign w:val="superscript"/>
        </w:rPr>
        <w:t xml:space="preserve">® </w:t>
      </w:r>
      <w:r>
        <w:t xml:space="preserve">compared to 3.6% of older adults in the vehicle group. </w:t>
      </w:r>
    </w:p>
    <w:p w14:paraId="6C5A75F7" w14:textId="77777777" w:rsidR="003E3EA9" w:rsidRDefault="003E3EA9" w:rsidP="003E3EA9">
      <w:pPr>
        <w:pStyle w:val="TEXT"/>
      </w:pPr>
    </w:p>
    <w:p w14:paraId="20F67325" w14:textId="414E28D6" w:rsidR="003E3EA9" w:rsidRDefault="003E3EA9" w:rsidP="003E3EA9">
      <w:pPr>
        <w:pStyle w:val="TEXT"/>
      </w:pPr>
      <w:r>
        <w:t>Please see full article for more information:</w:t>
      </w:r>
    </w:p>
    <w:p w14:paraId="0706C402" w14:textId="52813214" w:rsidR="006A03D2" w:rsidRPr="006A03D2" w:rsidRDefault="006A03D2" w:rsidP="006A03D2">
      <w:pPr>
        <w:pStyle w:val="ListParagraph"/>
        <w:numPr>
          <w:ilvl w:val="0"/>
          <w:numId w:val="27"/>
        </w:numPr>
      </w:pPr>
      <w:r w:rsidRPr="00580EFA">
        <w:rPr>
          <w:rFonts w:ascii="Arial" w:hAnsi="Arial" w:cs="Arial"/>
          <w:sz w:val="20"/>
          <w:szCs w:val="20"/>
        </w:rPr>
        <w:t>JUBLIA</w:t>
      </w:r>
      <w:r w:rsidRPr="00580EFA">
        <w:rPr>
          <w:rFonts w:ascii="Arial" w:hAnsi="Arial" w:cs="Arial"/>
          <w:sz w:val="20"/>
          <w:szCs w:val="20"/>
          <w:vertAlign w:val="superscript"/>
        </w:rPr>
        <w:t>®</w:t>
      </w:r>
      <w:r w:rsidRPr="00580EFA">
        <w:rPr>
          <w:rFonts w:ascii="Arial" w:hAnsi="Arial" w:cs="Arial"/>
          <w:sz w:val="20"/>
          <w:szCs w:val="20"/>
        </w:rPr>
        <w:t xml:space="preserve"> [prescribing information]. Bridgewater, NJ: Bausch Health US, LLC.</w:t>
      </w:r>
    </w:p>
    <w:p w14:paraId="62563159" w14:textId="6BA3D3F1" w:rsidR="003E3EA9" w:rsidRPr="00907E22" w:rsidRDefault="003E3EA9" w:rsidP="008F4E90">
      <w:pPr>
        <w:pStyle w:val="TEXT"/>
        <w:numPr>
          <w:ilvl w:val="0"/>
          <w:numId w:val="27"/>
        </w:numPr>
        <w:rPr>
          <w:lang w:val="fr-FR"/>
        </w:rPr>
      </w:pPr>
      <w:proofErr w:type="spellStart"/>
      <w:r w:rsidRPr="00907E22">
        <w:rPr>
          <w:lang w:val="fr-FR"/>
        </w:rPr>
        <w:lastRenderedPageBreak/>
        <w:t>Lipner</w:t>
      </w:r>
      <w:proofErr w:type="spellEnd"/>
      <w:r w:rsidRPr="00907E22">
        <w:rPr>
          <w:lang w:val="fr-FR"/>
        </w:rPr>
        <w:t xml:space="preserve"> et al. Mycoses. </w:t>
      </w:r>
      <w:proofErr w:type="gramStart"/>
      <w:r w:rsidRPr="00907E22">
        <w:rPr>
          <w:lang w:val="fr-FR"/>
        </w:rPr>
        <w:t>2025;</w:t>
      </w:r>
      <w:proofErr w:type="gramEnd"/>
      <w:r w:rsidRPr="00907E22">
        <w:rPr>
          <w:lang w:val="fr-FR"/>
        </w:rPr>
        <w:t>68(5):e70069.</w:t>
      </w:r>
    </w:p>
    <w:p w14:paraId="2E76EC55" w14:textId="77777777" w:rsidR="009F6FFA" w:rsidRPr="00907E22" w:rsidRDefault="009F6FFA" w:rsidP="009F6FFA">
      <w:pPr>
        <w:pStyle w:val="TEXT"/>
        <w:rPr>
          <w:lang w:val="fr-FR"/>
        </w:rPr>
      </w:pPr>
    </w:p>
    <w:p w14:paraId="78CC1C0E" w14:textId="4E534C85" w:rsidR="009F6FFA" w:rsidRDefault="00000000" w:rsidP="009F6FFA">
      <w:pPr>
        <w:pStyle w:val="TEXT"/>
        <w:rPr>
          <w:b/>
          <w:bCs/>
        </w:rPr>
      </w:pPr>
      <w:sdt>
        <w:sdtPr>
          <w:rPr>
            <w:b/>
            <w:bCs/>
            <w:color w:val="FF0000"/>
          </w:rPr>
          <w:id w:val="1219162995"/>
        </w:sdtPr>
        <w:sdtContent>
          <w:r w:rsidR="009F6FFA" w:rsidRPr="00E04982">
            <w:rPr>
              <w:rFonts w:ascii="Segoe UI Symbol" w:eastAsia="MS Gothic" w:hAnsi="Segoe UI Symbol" w:cs="Segoe UI Symbol"/>
              <w:b/>
              <w:bCs/>
              <w:color w:val="000000" w:themeColor="text1"/>
            </w:rPr>
            <w:t>☐</w:t>
          </w:r>
        </w:sdtContent>
      </w:sdt>
      <w:r w:rsidR="009F6FFA" w:rsidRPr="00DA76CF">
        <w:rPr>
          <w:b/>
          <w:bCs/>
          <w:color w:val="FF0000"/>
        </w:rPr>
        <w:t xml:space="preserve"> </w:t>
      </w:r>
      <w:r w:rsidR="009F6FFA">
        <w:rPr>
          <w:b/>
          <w:bCs/>
        </w:rPr>
        <w:t xml:space="preserve">Nail Plate Penetration of </w:t>
      </w:r>
      <w:r w:rsidR="009F6FFA" w:rsidRPr="00DA76CF">
        <w:rPr>
          <w:b/>
          <w:bCs/>
        </w:rPr>
        <w:t>J</w:t>
      </w:r>
      <w:r w:rsidR="0092158F">
        <w:rPr>
          <w:b/>
          <w:bCs/>
        </w:rPr>
        <w:t>UBLIA</w:t>
      </w:r>
      <w:r w:rsidR="009F6FFA" w:rsidRPr="00DA76CF">
        <w:rPr>
          <w:b/>
          <w:bCs/>
          <w:vertAlign w:val="superscript"/>
        </w:rPr>
        <w:t>®</w:t>
      </w:r>
      <w:r w:rsidR="009F6FFA">
        <w:rPr>
          <w:b/>
          <w:bCs/>
          <w:vertAlign w:val="superscript"/>
        </w:rPr>
        <w:t xml:space="preserve"> </w:t>
      </w:r>
    </w:p>
    <w:p w14:paraId="3D159D2B" w14:textId="77777777" w:rsidR="009F6FFA" w:rsidRDefault="009F6FFA" w:rsidP="009F6FFA">
      <w:pPr>
        <w:pStyle w:val="TEXT"/>
        <w:rPr>
          <w:b/>
          <w:bCs/>
        </w:rPr>
      </w:pPr>
    </w:p>
    <w:p w14:paraId="555AE56C" w14:textId="11F4716D" w:rsidR="00D63290" w:rsidRPr="00277B37" w:rsidRDefault="00365FF1" w:rsidP="005668F0">
      <w:pPr>
        <w:pStyle w:val="TEXT"/>
        <w:numPr>
          <w:ilvl w:val="0"/>
          <w:numId w:val="19"/>
        </w:numPr>
        <w:rPr>
          <w:b/>
          <w:bCs/>
        </w:rPr>
      </w:pPr>
      <w:r>
        <w:t>In a</w:t>
      </w:r>
      <w:r w:rsidR="00A32F01">
        <w:t>n in vitro measure of dermatophyte growth in an agar plate model</w:t>
      </w:r>
      <w:r w:rsidR="00471052">
        <w:t>,</w:t>
      </w:r>
      <w:r>
        <w:t xml:space="preserve"> isolates of </w:t>
      </w:r>
      <w:r>
        <w:rPr>
          <w:i/>
          <w:iCs/>
        </w:rPr>
        <w:t>Trichophyton rubrum</w:t>
      </w:r>
      <w:r>
        <w:t xml:space="preserve"> and </w:t>
      </w:r>
      <w:r>
        <w:rPr>
          <w:i/>
          <w:iCs/>
        </w:rPr>
        <w:t>Trichophyton mentagrophytes</w:t>
      </w:r>
      <w:r>
        <w:t xml:space="preserve"> were </w:t>
      </w:r>
      <w:r w:rsidR="00471052">
        <w:t>tested</w:t>
      </w:r>
      <w:r>
        <w:t xml:space="preserve"> to evaluate the nail penetration efficacy of </w:t>
      </w:r>
      <w:r w:rsidR="00A1243C" w:rsidRPr="003E3EA9">
        <w:t>J</w:t>
      </w:r>
      <w:r w:rsidR="00A1243C">
        <w:t>UBLIA</w:t>
      </w:r>
      <w:r w:rsidR="00A1243C" w:rsidRPr="003E3EA9">
        <w:rPr>
          <w:vertAlign w:val="superscript"/>
        </w:rPr>
        <w:t xml:space="preserve">® </w:t>
      </w:r>
      <w:r>
        <w:t xml:space="preserve">compared to </w:t>
      </w:r>
      <w:r w:rsidR="00A1243C">
        <w:t>ciclopirox 8% lacquer.</w:t>
      </w:r>
      <w:r>
        <w:t xml:space="preserve"> Utilizing </w:t>
      </w:r>
      <w:r w:rsidR="00A1243C">
        <w:t xml:space="preserve">a </w:t>
      </w:r>
      <w:r>
        <w:t>nail penetration assay</w:t>
      </w:r>
      <w:r w:rsidR="00A1243C">
        <w:t xml:space="preserve"> of cadaverous human nails,</w:t>
      </w:r>
      <w:r>
        <w:t xml:space="preserve"> this research aimed to determine the inhibitory effect on dermatophyte growth</w:t>
      </w:r>
      <w:r w:rsidR="00372E4E">
        <w:t xml:space="preserve"> by measuring zone of inhibition, defined as the radius of no growth</w:t>
      </w:r>
      <w:r>
        <w:t>.</w:t>
      </w:r>
      <w:r w:rsidR="00A65188">
        <w:t xml:space="preserve"> </w:t>
      </w:r>
      <w:r w:rsidR="009C6C15">
        <w:t xml:space="preserve">Fungal strains were </w:t>
      </w:r>
      <w:proofErr w:type="spellStart"/>
      <w:r w:rsidR="009C6C15">
        <w:t>subcultured</w:t>
      </w:r>
      <w:proofErr w:type="spellEnd"/>
      <w:r w:rsidR="009C6C15">
        <w:t xml:space="preserve"> at 35</w:t>
      </w:r>
      <w:r w:rsidR="004A56F2">
        <w:t>’ C for 2-4 days</w:t>
      </w:r>
      <w:r w:rsidR="005668F0" w:rsidRPr="00372E4E">
        <w:t>.</w:t>
      </w:r>
      <w:r w:rsidR="00A65188" w:rsidRPr="00A65188">
        <w:rPr>
          <w:color w:val="1D1D1D"/>
          <w:sz w:val="18"/>
          <w:szCs w:val="18"/>
          <w:shd w:val="clear" w:color="auto" w:fill="FFFFFF"/>
        </w:rPr>
        <w:t xml:space="preserve"> </w:t>
      </w:r>
      <w:r w:rsidR="00A65188" w:rsidRPr="00A65188">
        <w:t xml:space="preserve">After an incubation period of 2-4 days, the plates were </w:t>
      </w:r>
      <w:proofErr w:type="gramStart"/>
      <w:r w:rsidR="00A65188" w:rsidRPr="00A65188">
        <w:t>removed</w:t>
      </w:r>
      <w:proofErr w:type="gramEnd"/>
      <w:r w:rsidR="00A65188" w:rsidRPr="00A65188">
        <w:t xml:space="preserve"> and the zone of inhibition was measured with an electronic caliper efinaconazole and ciclopirox (</w:t>
      </w:r>
      <w:proofErr w:type="spellStart"/>
      <w:r w:rsidR="00A65188" w:rsidRPr="00A65188">
        <w:t>Penlac</w:t>
      </w:r>
      <w:proofErr w:type="spellEnd"/>
      <w:r w:rsidR="00A65188" w:rsidRPr="00A65188">
        <w:t>) were tested in human nail assays.</w:t>
      </w:r>
    </w:p>
    <w:p w14:paraId="061E5580" w14:textId="2988F754" w:rsidR="00372E4E" w:rsidRPr="005B11C0" w:rsidRDefault="00372E4E" w:rsidP="005668F0">
      <w:pPr>
        <w:pStyle w:val="TEXT"/>
        <w:numPr>
          <w:ilvl w:val="0"/>
          <w:numId w:val="19"/>
        </w:numPr>
        <w:rPr>
          <w:b/>
          <w:bCs/>
        </w:rPr>
      </w:pPr>
      <w:r>
        <w:t>R</w:t>
      </w:r>
      <w:r w:rsidRPr="00A64376">
        <w:t>esults indicated that JUBLIA</w:t>
      </w:r>
      <w:r w:rsidRPr="003E3EA9">
        <w:rPr>
          <w:vertAlign w:val="superscript"/>
        </w:rPr>
        <w:t xml:space="preserve">® </w:t>
      </w:r>
      <w:r w:rsidRPr="00A64376">
        <w:t xml:space="preserve">exhibited antifungal activity against both </w:t>
      </w:r>
      <w:r w:rsidRPr="00A64376">
        <w:rPr>
          <w:i/>
          <w:iCs/>
        </w:rPr>
        <w:t xml:space="preserve">T. rubrum </w:t>
      </w:r>
      <w:r w:rsidRPr="00A64376">
        <w:t xml:space="preserve">and </w:t>
      </w:r>
      <w:r w:rsidRPr="00A64376">
        <w:rPr>
          <w:i/>
          <w:iCs/>
        </w:rPr>
        <w:t>T. mentagrophytes</w:t>
      </w:r>
      <w:r w:rsidRPr="00A64376">
        <w:t xml:space="preserve"> </w:t>
      </w:r>
      <w:r>
        <w:t xml:space="preserve">with </w:t>
      </w:r>
      <w:r w:rsidRPr="00A64376">
        <w:t>average zones of inhibition ± SD of 82.1 ± 1.1 mm and 63.8 ± 2.7 mm, respectively. As for ciclopirox 8%</w:t>
      </w:r>
      <w:r>
        <w:t xml:space="preserve"> lacquer</w:t>
      </w:r>
      <w:r w:rsidRPr="00A64376">
        <w:t xml:space="preserve">, the average zones of inhibition against </w:t>
      </w:r>
      <w:r w:rsidRPr="00A64376">
        <w:rPr>
          <w:i/>
          <w:iCs/>
        </w:rPr>
        <w:t xml:space="preserve">T. rubrum and T. mentagrophytes </w:t>
      </w:r>
      <w:r w:rsidRPr="00A64376">
        <w:t>were ± SD of 7.4 ± 5.3 mm and 3.6 ± 4.8 mm</w:t>
      </w:r>
      <w:r>
        <w:t>, respectively</w:t>
      </w:r>
      <w:r w:rsidRPr="00A64376">
        <w:t>.</w:t>
      </w:r>
    </w:p>
    <w:p w14:paraId="3B61D050" w14:textId="33A062AB" w:rsidR="005B11C0" w:rsidRPr="00277B37" w:rsidRDefault="005B11C0" w:rsidP="005668F0">
      <w:pPr>
        <w:pStyle w:val="TEXT"/>
        <w:numPr>
          <w:ilvl w:val="0"/>
          <w:numId w:val="19"/>
        </w:numPr>
        <w:rPr>
          <w:b/>
          <w:bCs/>
        </w:rPr>
      </w:pPr>
      <w:r>
        <w:t xml:space="preserve">The clinical significance of these in vitro data is unknown. </w:t>
      </w:r>
    </w:p>
    <w:p w14:paraId="49534CBA" w14:textId="77777777" w:rsidR="009F6FFA" w:rsidRDefault="009F6FFA" w:rsidP="009F6FFA">
      <w:pPr>
        <w:pStyle w:val="TEXT"/>
      </w:pPr>
    </w:p>
    <w:p w14:paraId="43021034" w14:textId="10D15269" w:rsidR="009F6FFA" w:rsidRDefault="009F6FFA" w:rsidP="009F6FFA">
      <w:pPr>
        <w:pStyle w:val="TEXT"/>
      </w:pPr>
      <w:r>
        <w:t>Please see full article for more information:</w:t>
      </w:r>
    </w:p>
    <w:p w14:paraId="152F92F2" w14:textId="255BA688" w:rsidR="009F6FFA" w:rsidRDefault="004C2D3D" w:rsidP="00654849">
      <w:pPr>
        <w:pStyle w:val="TEXT"/>
        <w:numPr>
          <w:ilvl w:val="0"/>
          <w:numId w:val="28"/>
        </w:numPr>
      </w:pPr>
      <w:proofErr w:type="spellStart"/>
      <w:r w:rsidRPr="004C2D3D">
        <w:t>Elabbasi</w:t>
      </w:r>
      <w:proofErr w:type="spellEnd"/>
      <w:r w:rsidRPr="004C2D3D">
        <w:t xml:space="preserve"> et al. </w:t>
      </w:r>
      <w:r w:rsidRPr="004C2D3D">
        <w:rPr>
          <w:i/>
          <w:iCs/>
        </w:rPr>
        <w:t>Dermatol Ther (</w:t>
      </w:r>
      <w:proofErr w:type="spellStart"/>
      <w:r w:rsidRPr="004C2D3D">
        <w:rPr>
          <w:i/>
          <w:iCs/>
        </w:rPr>
        <w:t>Heidelb</w:t>
      </w:r>
      <w:proofErr w:type="spellEnd"/>
      <w:r w:rsidRPr="004C2D3D">
        <w:rPr>
          <w:i/>
          <w:iCs/>
        </w:rPr>
        <w:t>)</w:t>
      </w:r>
      <w:r w:rsidRPr="004C2D3D">
        <w:t>. 2024;14(9):2495-2507</w:t>
      </w:r>
    </w:p>
    <w:p w14:paraId="17AFD86C" w14:textId="77777777" w:rsidR="009F6FFA" w:rsidRPr="003E3EA9" w:rsidRDefault="009F6FFA" w:rsidP="009F6FFA">
      <w:pPr>
        <w:pStyle w:val="TEXT"/>
      </w:pPr>
    </w:p>
    <w:p w14:paraId="31014854" w14:textId="77777777" w:rsidR="0073083E" w:rsidRPr="00136ED3" w:rsidRDefault="0073083E" w:rsidP="003E6FBB">
      <w:pPr>
        <w:pStyle w:val="TEXT"/>
        <w:rPr>
          <w:rFonts w:eastAsia="Calibri"/>
          <w:b/>
          <w:bCs/>
          <w:color w:val="000000"/>
        </w:rPr>
      </w:pPr>
    </w:p>
    <w:p w14:paraId="1AAC8221" w14:textId="0AD081B6" w:rsidR="00DB4139" w:rsidRPr="008F4E90" w:rsidRDefault="00DB4139" w:rsidP="00DB4139">
      <w:pPr>
        <w:pStyle w:val="first"/>
        <w:rPr>
          <w:rFonts w:ascii="Arial" w:hAnsi="Arial" w:cs="Arial"/>
          <w:b/>
          <w:bCs/>
          <w:color w:val="2E74B5" w:themeColor="accent1" w:themeShade="BF"/>
          <w:sz w:val="20"/>
          <w:szCs w:val="20"/>
        </w:rPr>
      </w:pPr>
      <w:bookmarkStart w:id="2" w:name="ID_6b9635d2-cdaf-4796-8082-3ec3718735d4"/>
      <w:bookmarkStart w:id="3" w:name="section-4"/>
      <w:bookmarkStart w:id="4" w:name="ID_8a316940-fca4-4950-ba48-4e3654e19638"/>
      <w:bookmarkStart w:id="5" w:name="section-6.2"/>
      <w:bookmarkEnd w:id="2"/>
      <w:bookmarkEnd w:id="3"/>
      <w:bookmarkEnd w:id="4"/>
      <w:bookmarkEnd w:id="5"/>
      <w:r w:rsidRPr="008F4E90">
        <w:rPr>
          <w:rFonts w:ascii="Arial" w:hAnsi="Arial" w:cs="Arial"/>
          <w:b/>
          <w:bCs/>
          <w:color w:val="2E74B5" w:themeColor="accent1" w:themeShade="BF"/>
          <w:sz w:val="20"/>
          <w:szCs w:val="20"/>
        </w:rPr>
        <w:t xml:space="preserve">INDICATION </w:t>
      </w:r>
    </w:p>
    <w:p w14:paraId="15BF54BD" w14:textId="77777777" w:rsidR="0007247C" w:rsidRPr="0007247C" w:rsidRDefault="0007247C" w:rsidP="0007247C">
      <w:pPr>
        <w:pStyle w:val="NormalWeb"/>
        <w:rPr>
          <w:rFonts w:ascii="Arial" w:hAnsi="Arial" w:cs="Arial"/>
          <w:sz w:val="20"/>
          <w:szCs w:val="20"/>
        </w:rPr>
      </w:pPr>
      <w:r w:rsidRPr="0007247C">
        <w:rPr>
          <w:rFonts w:ascii="Arial" w:hAnsi="Arial" w:cs="Arial"/>
          <w:sz w:val="20"/>
          <w:szCs w:val="20"/>
        </w:rPr>
        <w:t xml:space="preserve">JUBLIA® (efinaconazole) topical solution, 10%, is indicated for the topical treatment of onychomycosis (tinea </w:t>
      </w:r>
      <w:proofErr w:type="spellStart"/>
      <w:r w:rsidRPr="0007247C">
        <w:rPr>
          <w:rFonts w:ascii="Arial" w:hAnsi="Arial" w:cs="Arial"/>
          <w:sz w:val="20"/>
          <w:szCs w:val="20"/>
        </w:rPr>
        <w:t>unguium</w:t>
      </w:r>
      <w:proofErr w:type="spellEnd"/>
      <w:r w:rsidRPr="0007247C">
        <w:rPr>
          <w:rFonts w:ascii="Arial" w:hAnsi="Arial" w:cs="Arial"/>
          <w:sz w:val="20"/>
          <w:szCs w:val="20"/>
        </w:rPr>
        <w:t>) of the toenail(s) due to </w:t>
      </w:r>
      <w:r w:rsidRPr="0007247C">
        <w:rPr>
          <w:rFonts w:ascii="Arial" w:hAnsi="Arial" w:cs="Arial"/>
          <w:i/>
          <w:sz w:val="20"/>
          <w:szCs w:val="20"/>
        </w:rPr>
        <w:t>Trichophyton rubrum</w:t>
      </w:r>
      <w:r w:rsidRPr="0007247C">
        <w:rPr>
          <w:rFonts w:ascii="Arial" w:hAnsi="Arial" w:cs="Arial"/>
          <w:sz w:val="20"/>
          <w:szCs w:val="20"/>
        </w:rPr>
        <w:t> and </w:t>
      </w:r>
      <w:r w:rsidRPr="0007247C">
        <w:rPr>
          <w:rFonts w:ascii="Arial" w:hAnsi="Arial" w:cs="Arial"/>
          <w:i/>
          <w:sz w:val="20"/>
          <w:szCs w:val="20"/>
        </w:rPr>
        <w:t>Trichophyton mentagrophytes</w:t>
      </w:r>
      <w:r w:rsidRPr="0007247C">
        <w:rPr>
          <w:rFonts w:ascii="Arial" w:hAnsi="Arial" w:cs="Arial"/>
          <w:sz w:val="20"/>
          <w:szCs w:val="20"/>
        </w:rPr>
        <w:t>.</w:t>
      </w:r>
    </w:p>
    <w:p w14:paraId="5E993A0D" w14:textId="77777777" w:rsidR="00DB4139" w:rsidRDefault="00DB4139" w:rsidP="00DB4139">
      <w:pPr>
        <w:pStyle w:val="NormalWeb"/>
        <w:rPr>
          <w:rFonts w:ascii="Arial" w:hAnsi="Arial" w:cs="Arial"/>
          <w:b/>
          <w:bCs/>
          <w:color w:val="2E74B5" w:themeColor="accent1" w:themeShade="BF"/>
          <w:sz w:val="20"/>
          <w:szCs w:val="20"/>
        </w:rPr>
      </w:pPr>
      <w:r w:rsidRPr="008F4E90">
        <w:rPr>
          <w:rFonts w:ascii="Arial" w:hAnsi="Arial" w:cs="Arial"/>
          <w:b/>
          <w:bCs/>
          <w:color w:val="2E74B5" w:themeColor="accent1" w:themeShade="BF"/>
          <w:sz w:val="20"/>
          <w:szCs w:val="20"/>
        </w:rPr>
        <w:t>IMPORTANT SAFETY INFORMATION</w:t>
      </w:r>
    </w:p>
    <w:p w14:paraId="690D0673" w14:textId="77777777" w:rsidR="000361DB" w:rsidRPr="000361DB" w:rsidRDefault="000361DB" w:rsidP="000361DB">
      <w:pPr>
        <w:pStyle w:val="NormalWeb"/>
        <w:numPr>
          <w:ilvl w:val="0"/>
          <w:numId w:val="29"/>
        </w:numPr>
        <w:rPr>
          <w:rFonts w:ascii="Arial" w:hAnsi="Arial" w:cs="Arial"/>
          <w:sz w:val="20"/>
          <w:szCs w:val="20"/>
        </w:rPr>
      </w:pPr>
      <w:r w:rsidRPr="000361DB">
        <w:rPr>
          <w:rFonts w:ascii="Arial" w:hAnsi="Arial" w:cs="Arial"/>
          <w:sz w:val="20"/>
          <w:szCs w:val="20"/>
        </w:rPr>
        <w:t>JUBLIA is for topical use only and is not for oral, ophthalmic, or intravaginal use.</w:t>
      </w:r>
    </w:p>
    <w:p w14:paraId="33BD4BC9" w14:textId="77777777" w:rsidR="000361DB" w:rsidRPr="000361DB" w:rsidRDefault="000361DB" w:rsidP="000361DB">
      <w:pPr>
        <w:pStyle w:val="NormalWeb"/>
        <w:numPr>
          <w:ilvl w:val="0"/>
          <w:numId w:val="29"/>
        </w:numPr>
        <w:rPr>
          <w:rFonts w:ascii="Arial" w:hAnsi="Arial" w:cs="Arial"/>
          <w:sz w:val="20"/>
          <w:szCs w:val="20"/>
        </w:rPr>
      </w:pPr>
      <w:r w:rsidRPr="000361DB">
        <w:rPr>
          <w:rFonts w:ascii="Arial" w:hAnsi="Arial" w:cs="Arial"/>
          <w:sz w:val="20"/>
          <w:szCs w:val="20"/>
        </w:rPr>
        <w:t>Patients should be instructed to contact their health care professional if a reaction suggesting sensitivity or severe irritation occurs.</w:t>
      </w:r>
    </w:p>
    <w:p w14:paraId="001127FA" w14:textId="77777777" w:rsidR="000361DB" w:rsidRPr="000361DB" w:rsidRDefault="000361DB" w:rsidP="000361DB">
      <w:pPr>
        <w:pStyle w:val="NormalWeb"/>
        <w:numPr>
          <w:ilvl w:val="0"/>
          <w:numId w:val="29"/>
        </w:numPr>
        <w:rPr>
          <w:rFonts w:ascii="Arial" w:hAnsi="Arial" w:cs="Arial"/>
          <w:sz w:val="20"/>
          <w:szCs w:val="20"/>
        </w:rPr>
      </w:pPr>
      <w:r w:rsidRPr="000361DB">
        <w:rPr>
          <w:rFonts w:ascii="Arial" w:hAnsi="Arial" w:cs="Arial"/>
          <w:sz w:val="20"/>
          <w:szCs w:val="20"/>
        </w:rPr>
        <w:t>The most common adverse reactions (incidence ≥1%) were (vs vehicle): ingrown toenail (2.3% vs 0.7%), application-site dermatitis (2.2% vs 0.2%), application-site vesicles (1.6% vs 0%), and application-site pain (1.1% vs 0.2%).</w:t>
      </w:r>
    </w:p>
    <w:p w14:paraId="2D376003" w14:textId="77777777" w:rsidR="000361DB" w:rsidRPr="000361DB" w:rsidRDefault="000361DB" w:rsidP="000361DB">
      <w:pPr>
        <w:pStyle w:val="NormalWeb"/>
        <w:numPr>
          <w:ilvl w:val="0"/>
          <w:numId w:val="29"/>
        </w:numPr>
        <w:rPr>
          <w:rFonts w:ascii="Arial" w:hAnsi="Arial" w:cs="Arial"/>
          <w:sz w:val="20"/>
          <w:szCs w:val="20"/>
        </w:rPr>
      </w:pPr>
      <w:r w:rsidRPr="000361DB">
        <w:rPr>
          <w:rFonts w:ascii="Arial" w:hAnsi="Arial" w:cs="Arial"/>
          <w:sz w:val="20"/>
          <w:szCs w:val="20"/>
        </w:rPr>
        <w:t xml:space="preserve">JUBLIA should be used during pregnancy only if the potential benefit justifies the potential risk to the </w:t>
      </w:r>
      <w:proofErr w:type="gramStart"/>
      <w:r w:rsidRPr="000361DB">
        <w:rPr>
          <w:rFonts w:ascii="Arial" w:hAnsi="Arial" w:cs="Arial"/>
          <w:sz w:val="20"/>
          <w:szCs w:val="20"/>
        </w:rPr>
        <w:t>fetus, and</w:t>
      </w:r>
      <w:proofErr w:type="gramEnd"/>
      <w:r w:rsidRPr="000361DB">
        <w:rPr>
          <w:rFonts w:ascii="Arial" w:hAnsi="Arial" w:cs="Arial"/>
          <w:sz w:val="20"/>
          <w:szCs w:val="20"/>
        </w:rPr>
        <w:t xml:space="preserve"> should be used with caution in nursing women. The safety and effectiveness in pediatric patients below 6 years of age have not been established.</w:t>
      </w:r>
    </w:p>
    <w:p w14:paraId="406B23CA" w14:textId="77777777" w:rsidR="000361DB" w:rsidRPr="000361DB" w:rsidRDefault="000361DB" w:rsidP="000361DB">
      <w:pPr>
        <w:pStyle w:val="NormalWeb"/>
        <w:rPr>
          <w:rFonts w:ascii="Arial" w:hAnsi="Arial" w:cs="Arial"/>
          <w:sz w:val="20"/>
          <w:szCs w:val="20"/>
        </w:rPr>
      </w:pPr>
      <w:hyperlink w:history="1"/>
      <w:r w:rsidRPr="000361DB">
        <w:rPr>
          <w:rFonts w:ascii="Arial" w:hAnsi="Arial" w:cs="Arial"/>
          <w:sz w:val="20"/>
          <w:szCs w:val="20"/>
        </w:rPr>
        <w:t>To report SUSPECTED ADVERSE REACTIONS, contact Ortho Dermatologics at 1-800-321-4576 or the FDA at 1-800-FDA-1088 or visit www.fda.gov/medwatch.</w:t>
      </w:r>
    </w:p>
    <w:p w14:paraId="21B81E74" w14:textId="1524CF75" w:rsidR="00406DBA" w:rsidRDefault="00E72BDA" w:rsidP="008F4E90">
      <w:pPr>
        <w:tabs>
          <w:tab w:val="left" w:pos="3300"/>
        </w:tabs>
        <w:rPr>
          <w:rFonts w:ascii="Arial" w:hAnsi="Arial" w:cs="Arial"/>
          <w:b/>
          <w:bCs/>
          <w:color w:val="222222"/>
          <w:sz w:val="20"/>
          <w:szCs w:val="20"/>
          <w:u w:val="single"/>
          <w:bdr w:val="none" w:sz="0" w:space="0" w:color="auto" w:frame="1"/>
          <w:shd w:val="clear" w:color="auto" w:fill="FDFDFD"/>
        </w:rPr>
      </w:pPr>
      <w:hyperlink r:id="rId12" w:tgtFrame="_blank" w:history="1">
        <w:r w:rsidRPr="00E72BDA">
          <w:rPr>
            <w:rStyle w:val="Hyperlink"/>
            <w:rFonts w:ascii="Arial" w:hAnsi="Arial" w:cs="Arial"/>
            <w:b/>
            <w:bCs/>
            <w:sz w:val="20"/>
            <w:szCs w:val="20"/>
            <w:bdr w:val="none" w:sz="0" w:space="0" w:color="auto" w:frame="1"/>
            <w:shd w:val="clear" w:color="auto" w:fill="FDFDFD"/>
          </w:rPr>
          <w:t>Click here for Prescribing Information, including Patient Information</w:t>
        </w:r>
      </w:hyperlink>
      <w:r w:rsidRPr="00E72BDA">
        <w:rPr>
          <w:rFonts w:ascii="Arial" w:hAnsi="Arial" w:cs="Arial"/>
          <w:b/>
          <w:bCs/>
          <w:color w:val="222222"/>
          <w:sz w:val="20"/>
          <w:szCs w:val="20"/>
          <w:u w:val="single"/>
          <w:bdr w:val="none" w:sz="0" w:space="0" w:color="auto" w:frame="1"/>
          <w:shd w:val="clear" w:color="auto" w:fill="FDFDFD"/>
        </w:rPr>
        <w:t>.</w:t>
      </w:r>
    </w:p>
    <w:p w14:paraId="7177575D" w14:textId="77777777" w:rsidR="005219B6" w:rsidRDefault="005219B6" w:rsidP="008F4E90">
      <w:pPr>
        <w:tabs>
          <w:tab w:val="left" w:pos="3300"/>
        </w:tabs>
        <w:rPr>
          <w:rFonts w:ascii="Arial" w:hAnsi="Arial" w:cs="Arial"/>
          <w:b/>
          <w:bCs/>
          <w:color w:val="222222"/>
          <w:sz w:val="20"/>
          <w:szCs w:val="20"/>
          <w:u w:val="single"/>
          <w:bdr w:val="none" w:sz="0" w:space="0" w:color="auto" w:frame="1"/>
          <w:shd w:val="clear" w:color="auto" w:fill="FDFDFD"/>
        </w:rPr>
      </w:pPr>
    </w:p>
    <w:p w14:paraId="0AF4453C" w14:textId="77777777" w:rsidR="005219B6" w:rsidRDefault="005219B6" w:rsidP="008F4E90">
      <w:pPr>
        <w:tabs>
          <w:tab w:val="left" w:pos="3300"/>
        </w:tabs>
        <w:rPr>
          <w:rFonts w:ascii="Arial" w:hAnsi="Arial" w:cs="Arial"/>
          <w:b/>
          <w:bCs/>
          <w:color w:val="222222"/>
          <w:sz w:val="20"/>
          <w:szCs w:val="20"/>
          <w:u w:val="single"/>
          <w:bdr w:val="none" w:sz="0" w:space="0" w:color="auto" w:frame="1"/>
          <w:shd w:val="clear" w:color="auto" w:fill="FDFDFD"/>
        </w:rPr>
      </w:pPr>
    </w:p>
    <w:p w14:paraId="199B68EB" w14:textId="77777777" w:rsidR="005219B6" w:rsidRPr="005219B6" w:rsidRDefault="005219B6" w:rsidP="00FB0A87">
      <w:pPr>
        <w:tabs>
          <w:tab w:val="left" w:pos="3300"/>
        </w:tabs>
        <w:spacing w:line="240" w:lineRule="auto"/>
        <w:rPr>
          <w:rFonts w:ascii="Arial" w:hAnsi="Arial" w:cs="Arial"/>
          <w:sz w:val="20"/>
          <w:szCs w:val="20"/>
        </w:rPr>
      </w:pPr>
      <w:r w:rsidRPr="005219B6">
        <w:rPr>
          <w:rFonts w:ascii="Arial" w:hAnsi="Arial" w:cs="Arial"/>
          <w:sz w:val="20"/>
          <w:szCs w:val="20"/>
        </w:rPr>
        <w:t>JUBLIA is a trademark of Ortho Dermatologics or its affiliates.</w:t>
      </w:r>
    </w:p>
    <w:p w14:paraId="7A14BA09" w14:textId="77777777" w:rsidR="005219B6" w:rsidRPr="005219B6" w:rsidRDefault="005219B6" w:rsidP="00FB0A87">
      <w:pPr>
        <w:tabs>
          <w:tab w:val="left" w:pos="3300"/>
        </w:tabs>
        <w:spacing w:line="240" w:lineRule="auto"/>
        <w:rPr>
          <w:rFonts w:ascii="Arial" w:hAnsi="Arial" w:cs="Arial"/>
          <w:sz w:val="20"/>
          <w:szCs w:val="20"/>
        </w:rPr>
      </w:pPr>
      <w:r w:rsidRPr="005219B6">
        <w:rPr>
          <w:rFonts w:ascii="Arial" w:hAnsi="Arial" w:cs="Arial"/>
          <w:sz w:val="20"/>
          <w:szCs w:val="20"/>
        </w:rPr>
        <w:t>© 2025 Ortho Dermatologics or its affiliates</w:t>
      </w:r>
    </w:p>
    <w:p w14:paraId="16362663" w14:textId="46FFF94D" w:rsidR="005219B6" w:rsidRPr="005219B6" w:rsidRDefault="005219B6" w:rsidP="00E31DEA">
      <w:pPr>
        <w:tabs>
          <w:tab w:val="left" w:pos="3300"/>
        </w:tabs>
        <w:spacing w:line="240" w:lineRule="auto"/>
        <w:rPr>
          <w:rFonts w:ascii="Arial" w:hAnsi="Arial" w:cs="Arial"/>
          <w:sz w:val="20"/>
          <w:szCs w:val="20"/>
        </w:rPr>
      </w:pPr>
      <w:r w:rsidRPr="005219B6">
        <w:rPr>
          <w:rFonts w:ascii="Arial" w:hAnsi="Arial" w:cs="Arial"/>
          <w:sz w:val="20"/>
          <w:szCs w:val="20"/>
        </w:rPr>
        <w:t>JUB.0040.USA.25</w:t>
      </w:r>
    </w:p>
    <w:sectPr w:rsidR="005219B6" w:rsidRPr="005219B6" w:rsidSect="00885038">
      <w:type w:val="continuous"/>
      <w:pgSz w:w="12240" w:h="15840"/>
      <w:pgMar w:top="1008" w:right="1008" w:bottom="720" w:left="1080" w:header="475" w:footer="47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3C75" w14:textId="77777777" w:rsidR="002E0276" w:rsidRDefault="002E0276" w:rsidP="002E68C9">
      <w:pPr>
        <w:spacing w:after="0" w:line="240" w:lineRule="auto"/>
      </w:pPr>
      <w:r>
        <w:separator/>
      </w:r>
    </w:p>
  </w:endnote>
  <w:endnote w:type="continuationSeparator" w:id="0">
    <w:p w14:paraId="1B55DEF5" w14:textId="77777777" w:rsidR="002E0276" w:rsidRDefault="002E0276" w:rsidP="002E68C9">
      <w:pPr>
        <w:spacing w:after="0" w:line="240" w:lineRule="auto"/>
      </w:pPr>
      <w:r>
        <w:continuationSeparator/>
      </w:r>
    </w:p>
  </w:endnote>
  <w:endnote w:type="continuationNotice" w:id="1">
    <w:p w14:paraId="52D4BCAE" w14:textId="77777777" w:rsidR="002E0276" w:rsidRDefault="002E02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EAE9" w14:textId="2B210D34" w:rsidR="00924809" w:rsidRPr="002E68C9" w:rsidRDefault="00924809" w:rsidP="00A451B1">
    <w:pPr>
      <w:widowControl w:val="0"/>
      <w:tabs>
        <w:tab w:val="left" w:pos="5940"/>
        <w:tab w:val="right" w:pos="10170"/>
      </w:tabs>
      <w:autoSpaceDE w:val="0"/>
      <w:autoSpaceDN w:val="0"/>
      <w:adjustRightInd w:val="0"/>
      <w:spacing w:after="0" w:line="240" w:lineRule="auto"/>
      <w:ind w:right="-20"/>
      <w:rPr>
        <w:rFonts w:ascii="Arial" w:hAnsi="Arial"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53A9" w14:textId="77777777" w:rsidR="002E0276" w:rsidRDefault="002E0276" w:rsidP="002E68C9">
      <w:pPr>
        <w:spacing w:after="0" w:line="240" w:lineRule="auto"/>
      </w:pPr>
      <w:r>
        <w:separator/>
      </w:r>
    </w:p>
  </w:footnote>
  <w:footnote w:type="continuationSeparator" w:id="0">
    <w:p w14:paraId="7BDF2C2A" w14:textId="77777777" w:rsidR="002E0276" w:rsidRDefault="002E0276" w:rsidP="002E68C9">
      <w:pPr>
        <w:spacing w:after="0" w:line="240" w:lineRule="auto"/>
      </w:pPr>
      <w:r>
        <w:continuationSeparator/>
      </w:r>
    </w:p>
  </w:footnote>
  <w:footnote w:type="continuationNotice" w:id="1">
    <w:p w14:paraId="29D57626" w14:textId="77777777" w:rsidR="002E0276" w:rsidRDefault="002E02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9D1"/>
    <w:multiLevelType w:val="hybridMultilevel"/>
    <w:tmpl w:val="BC86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257FD"/>
    <w:multiLevelType w:val="hybridMultilevel"/>
    <w:tmpl w:val="4C860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FCC"/>
    <w:multiLevelType w:val="hybridMultilevel"/>
    <w:tmpl w:val="0EAAE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E0660"/>
    <w:multiLevelType w:val="hybridMultilevel"/>
    <w:tmpl w:val="A60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A018E"/>
    <w:multiLevelType w:val="hybridMultilevel"/>
    <w:tmpl w:val="AC6E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73A01"/>
    <w:multiLevelType w:val="hybridMultilevel"/>
    <w:tmpl w:val="7622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76FCC"/>
    <w:multiLevelType w:val="hybridMultilevel"/>
    <w:tmpl w:val="18DC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86DFB"/>
    <w:multiLevelType w:val="hybridMultilevel"/>
    <w:tmpl w:val="F82A2C7E"/>
    <w:lvl w:ilvl="0" w:tplc="21C262CE">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E2519"/>
    <w:multiLevelType w:val="hybridMultilevel"/>
    <w:tmpl w:val="C666C7A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223055"/>
    <w:multiLevelType w:val="hybridMultilevel"/>
    <w:tmpl w:val="F77C0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2501A"/>
    <w:multiLevelType w:val="hybridMultilevel"/>
    <w:tmpl w:val="94C23FCC"/>
    <w:lvl w:ilvl="0" w:tplc="04F6BE9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405F81"/>
    <w:multiLevelType w:val="hybridMultilevel"/>
    <w:tmpl w:val="202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169EF"/>
    <w:multiLevelType w:val="hybridMultilevel"/>
    <w:tmpl w:val="F9A25284"/>
    <w:lvl w:ilvl="0" w:tplc="BAD65E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5C60F8"/>
    <w:multiLevelType w:val="hybridMultilevel"/>
    <w:tmpl w:val="A858D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33F"/>
    <w:multiLevelType w:val="hybridMultilevel"/>
    <w:tmpl w:val="3148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03192"/>
    <w:multiLevelType w:val="hybridMultilevel"/>
    <w:tmpl w:val="045C9CD2"/>
    <w:lvl w:ilvl="0" w:tplc="A6F2419A">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E9315E5"/>
    <w:multiLevelType w:val="hybridMultilevel"/>
    <w:tmpl w:val="91CE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D1983"/>
    <w:multiLevelType w:val="hybridMultilevel"/>
    <w:tmpl w:val="CE8E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17543C"/>
    <w:multiLevelType w:val="hybridMultilevel"/>
    <w:tmpl w:val="AC6E75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8806DF"/>
    <w:multiLevelType w:val="multilevel"/>
    <w:tmpl w:val="73C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A61193"/>
    <w:multiLevelType w:val="hybridMultilevel"/>
    <w:tmpl w:val="B88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1100D"/>
    <w:multiLevelType w:val="hybridMultilevel"/>
    <w:tmpl w:val="F97E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ED12D3"/>
    <w:multiLevelType w:val="hybridMultilevel"/>
    <w:tmpl w:val="A92A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42AF2"/>
    <w:multiLevelType w:val="hybridMultilevel"/>
    <w:tmpl w:val="C666C7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0F726B"/>
    <w:multiLevelType w:val="hybridMultilevel"/>
    <w:tmpl w:val="A7B0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08282A"/>
    <w:multiLevelType w:val="hybridMultilevel"/>
    <w:tmpl w:val="0BF6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C52062"/>
    <w:multiLevelType w:val="hybridMultilevel"/>
    <w:tmpl w:val="FCD88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30117"/>
    <w:multiLevelType w:val="hybridMultilevel"/>
    <w:tmpl w:val="EF843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87BB4"/>
    <w:multiLevelType w:val="hybridMultilevel"/>
    <w:tmpl w:val="BD30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097003"/>
    <w:multiLevelType w:val="multilevel"/>
    <w:tmpl w:val="D20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7938083">
    <w:abstractNumId w:val="14"/>
  </w:num>
  <w:num w:numId="2" w16cid:durableId="1234704842">
    <w:abstractNumId w:val="6"/>
  </w:num>
  <w:num w:numId="3" w16cid:durableId="694117213">
    <w:abstractNumId w:val="7"/>
  </w:num>
  <w:num w:numId="4" w16cid:durableId="884827333">
    <w:abstractNumId w:val="3"/>
  </w:num>
  <w:num w:numId="5" w16cid:durableId="1192455917">
    <w:abstractNumId w:val="20"/>
  </w:num>
  <w:num w:numId="6" w16cid:durableId="2101678447">
    <w:abstractNumId w:val="0"/>
  </w:num>
  <w:num w:numId="7" w16cid:durableId="1497843081">
    <w:abstractNumId w:val="24"/>
  </w:num>
  <w:num w:numId="8" w16cid:durableId="1634292702">
    <w:abstractNumId w:val="11"/>
  </w:num>
  <w:num w:numId="9" w16cid:durableId="1059867964">
    <w:abstractNumId w:val="13"/>
  </w:num>
  <w:num w:numId="10" w16cid:durableId="1907061491">
    <w:abstractNumId w:val="9"/>
  </w:num>
  <w:num w:numId="11" w16cid:durableId="861364542">
    <w:abstractNumId w:val="17"/>
  </w:num>
  <w:num w:numId="12" w16cid:durableId="1233855710">
    <w:abstractNumId w:val="5"/>
  </w:num>
  <w:num w:numId="13" w16cid:durableId="1300379812">
    <w:abstractNumId w:val="19"/>
  </w:num>
  <w:num w:numId="14" w16cid:durableId="579562357">
    <w:abstractNumId w:val="10"/>
  </w:num>
  <w:num w:numId="15" w16cid:durableId="205728290">
    <w:abstractNumId w:val="2"/>
  </w:num>
  <w:num w:numId="16" w16cid:durableId="974409787">
    <w:abstractNumId w:val="8"/>
  </w:num>
  <w:num w:numId="17" w16cid:durableId="1321696795">
    <w:abstractNumId w:val="23"/>
  </w:num>
  <w:num w:numId="18" w16cid:durableId="1466048095">
    <w:abstractNumId w:val="12"/>
  </w:num>
  <w:num w:numId="19" w16cid:durableId="1810512145">
    <w:abstractNumId w:val="1"/>
  </w:num>
  <w:num w:numId="20" w16cid:durableId="773595928">
    <w:abstractNumId w:val="28"/>
  </w:num>
  <w:num w:numId="21" w16cid:durableId="2000961866">
    <w:abstractNumId w:val="27"/>
  </w:num>
  <w:num w:numId="22" w16cid:durableId="1231422563">
    <w:abstractNumId w:val="26"/>
  </w:num>
  <w:num w:numId="23" w16cid:durableId="1837498409">
    <w:abstractNumId w:val="22"/>
  </w:num>
  <w:num w:numId="24" w16cid:durableId="2127961862">
    <w:abstractNumId w:val="25"/>
  </w:num>
  <w:num w:numId="25" w16cid:durableId="1081873211">
    <w:abstractNumId w:val="29"/>
  </w:num>
  <w:num w:numId="26" w16cid:durableId="513224815">
    <w:abstractNumId w:val="16"/>
  </w:num>
  <w:num w:numId="27" w16cid:durableId="52048157">
    <w:abstractNumId w:val="4"/>
  </w:num>
  <w:num w:numId="28" w16cid:durableId="1053969199">
    <w:abstractNumId w:val="18"/>
  </w:num>
  <w:num w:numId="29" w16cid:durableId="888304304">
    <w:abstractNumId w:val="21"/>
  </w:num>
  <w:num w:numId="30" w16cid:durableId="19957911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3D"/>
    <w:rsid w:val="00000DE8"/>
    <w:rsid w:val="00003B59"/>
    <w:rsid w:val="00005938"/>
    <w:rsid w:val="0000634C"/>
    <w:rsid w:val="00007FD2"/>
    <w:rsid w:val="00010CD8"/>
    <w:rsid w:val="00013F27"/>
    <w:rsid w:val="00015CF4"/>
    <w:rsid w:val="0001755E"/>
    <w:rsid w:val="00020D62"/>
    <w:rsid w:val="0002164A"/>
    <w:rsid w:val="00023E1A"/>
    <w:rsid w:val="00023F8F"/>
    <w:rsid w:val="00030EEA"/>
    <w:rsid w:val="000320DA"/>
    <w:rsid w:val="000361DB"/>
    <w:rsid w:val="0005488E"/>
    <w:rsid w:val="00055014"/>
    <w:rsid w:val="0006081F"/>
    <w:rsid w:val="0006379A"/>
    <w:rsid w:val="00063B7D"/>
    <w:rsid w:val="0007247C"/>
    <w:rsid w:val="00080712"/>
    <w:rsid w:val="000841DF"/>
    <w:rsid w:val="000900F6"/>
    <w:rsid w:val="0009613A"/>
    <w:rsid w:val="000A6B2F"/>
    <w:rsid w:val="000A766A"/>
    <w:rsid w:val="000B1B5C"/>
    <w:rsid w:val="000B7993"/>
    <w:rsid w:val="000C0BA6"/>
    <w:rsid w:val="000C368C"/>
    <w:rsid w:val="000C4A93"/>
    <w:rsid w:val="000D580B"/>
    <w:rsid w:val="000D6D84"/>
    <w:rsid w:val="000E2916"/>
    <w:rsid w:val="000E3344"/>
    <w:rsid w:val="000E723A"/>
    <w:rsid w:val="000E7DC5"/>
    <w:rsid w:val="000F3E7B"/>
    <w:rsid w:val="000F7E64"/>
    <w:rsid w:val="00102B0C"/>
    <w:rsid w:val="00103979"/>
    <w:rsid w:val="001048B3"/>
    <w:rsid w:val="00116784"/>
    <w:rsid w:val="0011743F"/>
    <w:rsid w:val="001210F9"/>
    <w:rsid w:val="00124809"/>
    <w:rsid w:val="0012480A"/>
    <w:rsid w:val="0012501E"/>
    <w:rsid w:val="001307DA"/>
    <w:rsid w:val="00131846"/>
    <w:rsid w:val="00132033"/>
    <w:rsid w:val="001344AC"/>
    <w:rsid w:val="00136ED3"/>
    <w:rsid w:val="00150828"/>
    <w:rsid w:val="0015494B"/>
    <w:rsid w:val="00163F66"/>
    <w:rsid w:val="001668C9"/>
    <w:rsid w:val="00170FA3"/>
    <w:rsid w:val="00172687"/>
    <w:rsid w:val="0017729E"/>
    <w:rsid w:val="00177344"/>
    <w:rsid w:val="001775AD"/>
    <w:rsid w:val="001802BC"/>
    <w:rsid w:val="00180A86"/>
    <w:rsid w:val="00182CB9"/>
    <w:rsid w:val="00193D09"/>
    <w:rsid w:val="00194980"/>
    <w:rsid w:val="00195786"/>
    <w:rsid w:val="001A76D6"/>
    <w:rsid w:val="001B2B60"/>
    <w:rsid w:val="001B316D"/>
    <w:rsid w:val="001B37E8"/>
    <w:rsid w:val="001C009D"/>
    <w:rsid w:val="001C162E"/>
    <w:rsid w:val="001C1A17"/>
    <w:rsid w:val="001C4C72"/>
    <w:rsid w:val="001C55A2"/>
    <w:rsid w:val="001C5EEE"/>
    <w:rsid w:val="001C7040"/>
    <w:rsid w:val="001D01D1"/>
    <w:rsid w:val="001D0733"/>
    <w:rsid w:val="001D35B3"/>
    <w:rsid w:val="001D44EB"/>
    <w:rsid w:val="001D7581"/>
    <w:rsid w:val="001E0D21"/>
    <w:rsid w:val="001E3974"/>
    <w:rsid w:val="001F137F"/>
    <w:rsid w:val="001F4DD1"/>
    <w:rsid w:val="0020124E"/>
    <w:rsid w:val="00202FF8"/>
    <w:rsid w:val="00207B63"/>
    <w:rsid w:val="002168CE"/>
    <w:rsid w:val="00221008"/>
    <w:rsid w:val="00222115"/>
    <w:rsid w:val="00224034"/>
    <w:rsid w:val="00233461"/>
    <w:rsid w:val="0023380E"/>
    <w:rsid w:val="00236AA7"/>
    <w:rsid w:val="002400C0"/>
    <w:rsid w:val="002415B4"/>
    <w:rsid w:val="002441E6"/>
    <w:rsid w:val="00250DDB"/>
    <w:rsid w:val="002548CB"/>
    <w:rsid w:val="00256728"/>
    <w:rsid w:val="00260D89"/>
    <w:rsid w:val="00270758"/>
    <w:rsid w:val="00272E24"/>
    <w:rsid w:val="00272FD9"/>
    <w:rsid w:val="0027363D"/>
    <w:rsid w:val="00277B37"/>
    <w:rsid w:val="0028307E"/>
    <w:rsid w:val="00284236"/>
    <w:rsid w:val="002869CC"/>
    <w:rsid w:val="002A5931"/>
    <w:rsid w:val="002A71E6"/>
    <w:rsid w:val="002B2C25"/>
    <w:rsid w:val="002B2CA5"/>
    <w:rsid w:val="002B68A0"/>
    <w:rsid w:val="002B69CB"/>
    <w:rsid w:val="002B6D72"/>
    <w:rsid w:val="002B7CA9"/>
    <w:rsid w:val="002C397B"/>
    <w:rsid w:val="002C644D"/>
    <w:rsid w:val="002D08F3"/>
    <w:rsid w:val="002D4A19"/>
    <w:rsid w:val="002D6873"/>
    <w:rsid w:val="002D77DE"/>
    <w:rsid w:val="002E0276"/>
    <w:rsid w:val="002E68C9"/>
    <w:rsid w:val="002E7343"/>
    <w:rsid w:val="002F0BAC"/>
    <w:rsid w:val="002F5FED"/>
    <w:rsid w:val="002F7801"/>
    <w:rsid w:val="00300CA4"/>
    <w:rsid w:val="00304848"/>
    <w:rsid w:val="00321C58"/>
    <w:rsid w:val="00323087"/>
    <w:rsid w:val="00324F37"/>
    <w:rsid w:val="00336963"/>
    <w:rsid w:val="00337060"/>
    <w:rsid w:val="00347EAF"/>
    <w:rsid w:val="00351CBA"/>
    <w:rsid w:val="003522F7"/>
    <w:rsid w:val="00360724"/>
    <w:rsid w:val="003647A1"/>
    <w:rsid w:val="003647D1"/>
    <w:rsid w:val="00365694"/>
    <w:rsid w:val="00365FF1"/>
    <w:rsid w:val="0037226E"/>
    <w:rsid w:val="00372E4E"/>
    <w:rsid w:val="003760EB"/>
    <w:rsid w:val="0038466A"/>
    <w:rsid w:val="003874FC"/>
    <w:rsid w:val="00390FB3"/>
    <w:rsid w:val="003A009D"/>
    <w:rsid w:val="003A1C14"/>
    <w:rsid w:val="003A349A"/>
    <w:rsid w:val="003A3662"/>
    <w:rsid w:val="003A381D"/>
    <w:rsid w:val="003A3DA8"/>
    <w:rsid w:val="003A45B4"/>
    <w:rsid w:val="003A4F6D"/>
    <w:rsid w:val="003A5BB1"/>
    <w:rsid w:val="003B237A"/>
    <w:rsid w:val="003B4209"/>
    <w:rsid w:val="003B7025"/>
    <w:rsid w:val="003C1ECA"/>
    <w:rsid w:val="003C6740"/>
    <w:rsid w:val="003C787C"/>
    <w:rsid w:val="003C7F44"/>
    <w:rsid w:val="003D0238"/>
    <w:rsid w:val="003D1332"/>
    <w:rsid w:val="003D2F84"/>
    <w:rsid w:val="003D4758"/>
    <w:rsid w:val="003E182B"/>
    <w:rsid w:val="003E268A"/>
    <w:rsid w:val="003E3EA9"/>
    <w:rsid w:val="003E4FD2"/>
    <w:rsid w:val="003E53B5"/>
    <w:rsid w:val="003E6FBB"/>
    <w:rsid w:val="003F0B7C"/>
    <w:rsid w:val="003F0CF4"/>
    <w:rsid w:val="003F4127"/>
    <w:rsid w:val="0040486A"/>
    <w:rsid w:val="004056EA"/>
    <w:rsid w:val="00406DBA"/>
    <w:rsid w:val="0041485D"/>
    <w:rsid w:val="0041573F"/>
    <w:rsid w:val="00422CF6"/>
    <w:rsid w:val="00423C67"/>
    <w:rsid w:val="004249F2"/>
    <w:rsid w:val="004374BE"/>
    <w:rsid w:val="0044582D"/>
    <w:rsid w:val="004458D3"/>
    <w:rsid w:val="004519BD"/>
    <w:rsid w:val="00453533"/>
    <w:rsid w:val="0045644F"/>
    <w:rsid w:val="004604FB"/>
    <w:rsid w:val="00460FA7"/>
    <w:rsid w:val="00462D29"/>
    <w:rsid w:val="00464BF8"/>
    <w:rsid w:val="00465083"/>
    <w:rsid w:val="00465D3D"/>
    <w:rsid w:val="00470E9E"/>
    <w:rsid w:val="00471052"/>
    <w:rsid w:val="004725AC"/>
    <w:rsid w:val="00474F9F"/>
    <w:rsid w:val="004764C1"/>
    <w:rsid w:val="00477C17"/>
    <w:rsid w:val="00480700"/>
    <w:rsid w:val="004809BA"/>
    <w:rsid w:val="00480CC9"/>
    <w:rsid w:val="00481863"/>
    <w:rsid w:val="00483E13"/>
    <w:rsid w:val="004862FF"/>
    <w:rsid w:val="00487508"/>
    <w:rsid w:val="004A2172"/>
    <w:rsid w:val="004A56F2"/>
    <w:rsid w:val="004A5AC2"/>
    <w:rsid w:val="004B063D"/>
    <w:rsid w:val="004B4C1F"/>
    <w:rsid w:val="004B59BB"/>
    <w:rsid w:val="004B6485"/>
    <w:rsid w:val="004B74A4"/>
    <w:rsid w:val="004C2D3D"/>
    <w:rsid w:val="004C76A8"/>
    <w:rsid w:val="004D0784"/>
    <w:rsid w:val="004D0D7C"/>
    <w:rsid w:val="004D5C78"/>
    <w:rsid w:val="004E0E1E"/>
    <w:rsid w:val="004E35C3"/>
    <w:rsid w:val="004E7521"/>
    <w:rsid w:val="004F12DB"/>
    <w:rsid w:val="005006B9"/>
    <w:rsid w:val="005007EB"/>
    <w:rsid w:val="005033DF"/>
    <w:rsid w:val="005150B7"/>
    <w:rsid w:val="00516FDA"/>
    <w:rsid w:val="00517692"/>
    <w:rsid w:val="005219B6"/>
    <w:rsid w:val="00522E3E"/>
    <w:rsid w:val="00527760"/>
    <w:rsid w:val="005278E2"/>
    <w:rsid w:val="00533852"/>
    <w:rsid w:val="00542EC1"/>
    <w:rsid w:val="005446CB"/>
    <w:rsid w:val="00544F1D"/>
    <w:rsid w:val="00545057"/>
    <w:rsid w:val="00547799"/>
    <w:rsid w:val="00547D98"/>
    <w:rsid w:val="0055271F"/>
    <w:rsid w:val="00553E6E"/>
    <w:rsid w:val="00554D8C"/>
    <w:rsid w:val="00566160"/>
    <w:rsid w:val="005668F0"/>
    <w:rsid w:val="00571950"/>
    <w:rsid w:val="00575375"/>
    <w:rsid w:val="0057713D"/>
    <w:rsid w:val="00580D05"/>
    <w:rsid w:val="00580EFA"/>
    <w:rsid w:val="00582478"/>
    <w:rsid w:val="005826FD"/>
    <w:rsid w:val="00582760"/>
    <w:rsid w:val="00584884"/>
    <w:rsid w:val="00587C21"/>
    <w:rsid w:val="005918ED"/>
    <w:rsid w:val="00593DE8"/>
    <w:rsid w:val="00593F58"/>
    <w:rsid w:val="005946E5"/>
    <w:rsid w:val="005A088A"/>
    <w:rsid w:val="005A1D05"/>
    <w:rsid w:val="005A3394"/>
    <w:rsid w:val="005A4B74"/>
    <w:rsid w:val="005B11C0"/>
    <w:rsid w:val="005B1751"/>
    <w:rsid w:val="005B7EBC"/>
    <w:rsid w:val="005C07C5"/>
    <w:rsid w:val="005C13DB"/>
    <w:rsid w:val="005C3503"/>
    <w:rsid w:val="005C35EF"/>
    <w:rsid w:val="005C418B"/>
    <w:rsid w:val="005C60FE"/>
    <w:rsid w:val="005C7A55"/>
    <w:rsid w:val="005D214E"/>
    <w:rsid w:val="005D5557"/>
    <w:rsid w:val="005E012F"/>
    <w:rsid w:val="005E1571"/>
    <w:rsid w:val="005E24EB"/>
    <w:rsid w:val="005E4CC6"/>
    <w:rsid w:val="005E673E"/>
    <w:rsid w:val="005F6DAB"/>
    <w:rsid w:val="00600F50"/>
    <w:rsid w:val="006020AA"/>
    <w:rsid w:val="0060356F"/>
    <w:rsid w:val="0060412C"/>
    <w:rsid w:val="006129DC"/>
    <w:rsid w:val="00614F50"/>
    <w:rsid w:val="006219CB"/>
    <w:rsid w:val="006223C9"/>
    <w:rsid w:val="006251D1"/>
    <w:rsid w:val="00625491"/>
    <w:rsid w:val="00632005"/>
    <w:rsid w:val="0063342F"/>
    <w:rsid w:val="0063505D"/>
    <w:rsid w:val="00652024"/>
    <w:rsid w:val="00652980"/>
    <w:rsid w:val="00657142"/>
    <w:rsid w:val="0065717C"/>
    <w:rsid w:val="00667320"/>
    <w:rsid w:val="006775D7"/>
    <w:rsid w:val="006837F0"/>
    <w:rsid w:val="00692A30"/>
    <w:rsid w:val="006948B4"/>
    <w:rsid w:val="006A0212"/>
    <w:rsid w:val="006A03D2"/>
    <w:rsid w:val="006A37F2"/>
    <w:rsid w:val="006B407B"/>
    <w:rsid w:val="006C0A5D"/>
    <w:rsid w:val="006C3E97"/>
    <w:rsid w:val="006C5E7A"/>
    <w:rsid w:val="006C61DA"/>
    <w:rsid w:val="006C7702"/>
    <w:rsid w:val="006D20F8"/>
    <w:rsid w:val="006D267D"/>
    <w:rsid w:val="006D2765"/>
    <w:rsid w:val="006F10E4"/>
    <w:rsid w:val="00702D85"/>
    <w:rsid w:val="0071022F"/>
    <w:rsid w:val="00710983"/>
    <w:rsid w:val="00717C43"/>
    <w:rsid w:val="00723CF2"/>
    <w:rsid w:val="0072436F"/>
    <w:rsid w:val="0073083E"/>
    <w:rsid w:val="00732E1A"/>
    <w:rsid w:val="00735147"/>
    <w:rsid w:val="00735E4F"/>
    <w:rsid w:val="007379AB"/>
    <w:rsid w:val="00740130"/>
    <w:rsid w:val="0074026B"/>
    <w:rsid w:val="00740925"/>
    <w:rsid w:val="00740A06"/>
    <w:rsid w:val="007416C9"/>
    <w:rsid w:val="00741A87"/>
    <w:rsid w:val="0075268A"/>
    <w:rsid w:val="007648AD"/>
    <w:rsid w:val="0077636E"/>
    <w:rsid w:val="00782B80"/>
    <w:rsid w:val="007842EB"/>
    <w:rsid w:val="007872EC"/>
    <w:rsid w:val="007928B8"/>
    <w:rsid w:val="0079354A"/>
    <w:rsid w:val="00793C53"/>
    <w:rsid w:val="007972DC"/>
    <w:rsid w:val="007A338C"/>
    <w:rsid w:val="007A5C0D"/>
    <w:rsid w:val="007B184E"/>
    <w:rsid w:val="007B3A83"/>
    <w:rsid w:val="007B58F7"/>
    <w:rsid w:val="007B7E26"/>
    <w:rsid w:val="007C30E2"/>
    <w:rsid w:val="007C668C"/>
    <w:rsid w:val="007C6CF1"/>
    <w:rsid w:val="007C74B3"/>
    <w:rsid w:val="007C75A4"/>
    <w:rsid w:val="007D0111"/>
    <w:rsid w:val="007D5A44"/>
    <w:rsid w:val="007E04D4"/>
    <w:rsid w:val="007E0981"/>
    <w:rsid w:val="007E6863"/>
    <w:rsid w:val="007F1A5B"/>
    <w:rsid w:val="007F22E9"/>
    <w:rsid w:val="007F26C5"/>
    <w:rsid w:val="007F708B"/>
    <w:rsid w:val="00801A6D"/>
    <w:rsid w:val="00801B6A"/>
    <w:rsid w:val="00807975"/>
    <w:rsid w:val="008141D5"/>
    <w:rsid w:val="00817C2C"/>
    <w:rsid w:val="00821412"/>
    <w:rsid w:val="008214E2"/>
    <w:rsid w:val="00821828"/>
    <w:rsid w:val="00822D17"/>
    <w:rsid w:val="00823615"/>
    <w:rsid w:val="00825CC9"/>
    <w:rsid w:val="0083042C"/>
    <w:rsid w:val="00835C66"/>
    <w:rsid w:val="008423EB"/>
    <w:rsid w:val="00843B8A"/>
    <w:rsid w:val="00845888"/>
    <w:rsid w:val="00847B60"/>
    <w:rsid w:val="008517AF"/>
    <w:rsid w:val="008552BD"/>
    <w:rsid w:val="00856935"/>
    <w:rsid w:val="00862560"/>
    <w:rsid w:val="0086274A"/>
    <w:rsid w:val="00862894"/>
    <w:rsid w:val="00872BF5"/>
    <w:rsid w:val="00875618"/>
    <w:rsid w:val="008775F6"/>
    <w:rsid w:val="00880E45"/>
    <w:rsid w:val="00882A57"/>
    <w:rsid w:val="00885038"/>
    <w:rsid w:val="0088534C"/>
    <w:rsid w:val="00885849"/>
    <w:rsid w:val="00886436"/>
    <w:rsid w:val="008914D7"/>
    <w:rsid w:val="008954EF"/>
    <w:rsid w:val="00896534"/>
    <w:rsid w:val="0089797C"/>
    <w:rsid w:val="008A4BD7"/>
    <w:rsid w:val="008B3287"/>
    <w:rsid w:val="008B4BEB"/>
    <w:rsid w:val="008C5777"/>
    <w:rsid w:val="008C7CDE"/>
    <w:rsid w:val="008D049B"/>
    <w:rsid w:val="008D3081"/>
    <w:rsid w:val="008D3256"/>
    <w:rsid w:val="008F4E90"/>
    <w:rsid w:val="008F7957"/>
    <w:rsid w:val="00903F30"/>
    <w:rsid w:val="00907052"/>
    <w:rsid w:val="00907E22"/>
    <w:rsid w:val="00917AC6"/>
    <w:rsid w:val="00917B71"/>
    <w:rsid w:val="0092158F"/>
    <w:rsid w:val="00922091"/>
    <w:rsid w:val="009224AC"/>
    <w:rsid w:val="00924809"/>
    <w:rsid w:val="009277D6"/>
    <w:rsid w:val="00935FC7"/>
    <w:rsid w:val="00952A27"/>
    <w:rsid w:val="00952D4E"/>
    <w:rsid w:val="00965922"/>
    <w:rsid w:val="00972CD7"/>
    <w:rsid w:val="00973627"/>
    <w:rsid w:val="00973CD0"/>
    <w:rsid w:val="00981808"/>
    <w:rsid w:val="00981CA6"/>
    <w:rsid w:val="00994572"/>
    <w:rsid w:val="0099559D"/>
    <w:rsid w:val="00995D75"/>
    <w:rsid w:val="009A00E5"/>
    <w:rsid w:val="009A1090"/>
    <w:rsid w:val="009A1903"/>
    <w:rsid w:val="009A4F28"/>
    <w:rsid w:val="009A7D6E"/>
    <w:rsid w:val="009C6BF5"/>
    <w:rsid w:val="009C6C15"/>
    <w:rsid w:val="009C7BF0"/>
    <w:rsid w:val="009D01F4"/>
    <w:rsid w:val="009D4D7E"/>
    <w:rsid w:val="009D76E7"/>
    <w:rsid w:val="009E073E"/>
    <w:rsid w:val="009E13BB"/>
    <w:rsid w:val="009E6DA3"/>
    <w:rsid w:val="009E6EB7"/>
    <w:rsid w:val="009F07BA"/>
    <w:rsid w:val="009F1C45"/>
    <w:rsid w:val="009F1CD3"/>
    <w:rsid w:val="009F6FFA"/>
    <w:rsid w:val="00A02806"/>
    <w:rsid w:val="00A04805"/>
    <w:rsid w:val="00A1243C"/>
    <w:rsid w:val="00A14CA8"/>
    <w:rsid w:val="00A154C9"/>
    <w:rsid w:val="00A22D85"/>
    <w:rsid w:val="00A25940"/>
    <w:rsid w:val="00A25A55"/>
    <w:rsid w:val="00A277F6"/>
    <w:rsid w:val="00A3008A"/>
    <w:rsid w:val="00A30199"/>
    <w:rsid w:val="00A304F2"/>
    <w:rsid w:val="00A31FDE"/>
    <w:rsid w:val="00A32D77"/>
    <w:rsid w:val="00A32F01"/>
    <w:rsid w:val="00A414B6"/>
    <w:rsid w:val="00A41FBF"/>
    <w:rsid w:val="00A44917"/>
    <w:rsid w:val="00A451B1"/>
    <w:rsid w:val="00A46419"/>
    <w:rsid w:val="00A46E7C"/>
    <w:rsid w:val="00A51D3A"/>
    <w:rsid w:val="00A5776A"/>
    <w:rsid w:val="00A61DF2"/>
    <w:rsid w:val="00A65188"/>
    <w:rsid w:val="00A66556"/>
    <w:rsid w:val="00A713EB"/>
    <w:rsid w:val="00A736A2"/>
    <w:rsid w:val="00A75082"/>
    <w:rsid w:val="00A76A58"/>
    <w:rsid w:val="00A76B10"/>
    <w:rsid w:val="00A858E0"/>
    <w:rsid w:val="00AA6034"/>
    <w:rsid w:val="00AA7298"/>
    <w:rsid w:val="00AB0174"/>
    <w:rsid w:val="00AB77A8"/>
    <w:rsid w:val="00AC33B2"/>
    <w:rsid w:val="00AC50A3"/>
    <w:rsid w:val="00AC557C"/>
    <w:rsid w:val="00AC5BF6"/>
    <w:rsid w:val="00AD4F43"/>
    <w:rsid w:val="00AD5102"/>
    <w:rsid w:val="00AD527F"/>
    <w:rsid w:val="00AE0D80"/>
    <w:rsid w:val="00AE6D0C"/>
    <w:rsid w:val="00AF0B3F"/>
    <w:rsid w:val="00AF122D"/>
    <w:rsid w:val="00AF149B"/>
    <w:rsid w:val="00AF2495"/>
    <w:rsid w:val="00AF2E08"/>
    <w:rsid w:val="00AF37B0"/>
    <w:rsid w:val="00AF457E"/>
    <w:rsid w:val="00AF49DF"/>
    <w:rsid w:val="00AF5050"/>
    <w:rsid w:val="00AF64CA"/>
    <w:rsid w:val="00B002BF"/>
    <w:rsid w:val="00B06756"/>
    <w:rsid w:val="00B07ABE"/>
    <w:rsid w:val="00B11299"/>
    <w:rsid w:val="00B1288C"/>
    <w:rsid w:val="00B14569"/>
    <w:rsid w:val="00B170E8"/>
    <w:rsid w:val="00B1749C"/>
    <w:rsid w:val="00B20147"/>
    <w:rsid w:val="00B21045"/>
    <w:rsid w:val="00B21231"/>
    <w:rsid w:val="00B3371F"/>
    <w:rsid w:val="00B406E6"/>
    <w:rsid w:val="00B528E3"/>
    <w:rsid w:val="00B548B1"/>
    <w:rsid w:val="00B56B2B"/>
    <w:rsid w:val="00B61D95"/>
    <w:rsid w:val="00B62344"/>
    <w:rsid w:val="00B73AB1"/>
    <w:rsid w:val="00B73B70"/>
    <w:rsid w:val="00B7460E"/>
    <w:rsid w:val="00B76C89"/>
    <w:rsid w:val="00B804BB"/>
    <w:rsid w:val="00B85B70"/>
    <w:rsid w:val="00B86D03"/>
    <w:rsid w:val="00B92B30"/>
    <w:rsid w:val="00B953F4"/>
    <w:rsid w:val="00B95675"/>
    <w:rsid w:val="00B973C3"/>
    <w:rsid w:val="00BA03EF"/>
    <w:rsid w:val="00BA2DF8"/>
    <w:rsid w:val="00BB29C5"/>
    <w:rsid w:val="00BB539B"/>
    <w:rsid w:val="00BB7E52"/>
    <w:rsid w:val="00BC2C91"/>
    <w:rsid w:val="00BC3DE9"/>
    <w:rsid w:val="00BC481B"/>
    <w:rsid w:val="00BC541F"/>
    <w:rsid w:val="00BD16A1"/>
    <w:rsid w:val="00BD5385"/>
    <w:rsid w:val="00BE0688"/>
    <w:rsid w:val="00BE14BD"/>
    <w:rsid w:val="00BE1790"/>
    <w:rsid w:val="00BE20B9"/>
    <w:rsid w:val="00BE7211"/>
    <w:rsid w:val="00BF0283"/>
    <w:rsid w:val="00BF0462"/>
    <w:rsid w:val="00BF1A3F"/>
    <w:rsid w:val="00C03FE9"/>
    <w:rsid w:val="00C0468A"/>
    <w:rsid w:val="00C0627C"/>
    <w:rsid w:val="00C063F4"/>
    <w:rsid w:val="00C06B37"/>
    <w:rsid w:val="00C132F6"/>
    <w:rsid w:val="00C13B99"/>
    <w:rsid w:val="00C177F8"/>
    <w:rsid w:val="00C2025E"/>
    <w:rsid w:val="00C20DCC"/>
    <w:rsid w:val="00C20FD9"/>
    <w:rsid w:val="00C22D50"/>
    <w:rsid w:val="00C244C6"/>
    <w:rsid w:val="00C3247B"/>
    <w:rsid w:val="00C40139"/>
    <w:rsid w:val="00C4315E"/>
    <w:rsid w:val="00C44BC6"/>
    <w:rsid w:val="00C510F0"/>
    <w:rsid w:val="00C5190A"/>
    <w:rsid w:val="00C60829"/>
    <w:rsid w:val="00C642B2"/>
    <w:rsid w:val="00C66B56"/>
    <w:rsid w:val="00C72E12"/>
    <w:rsid w:val="00C730B9"/>
    <w:rsid w:val="00C74546"/>
    <w:rsid w:val="00C764B3"/>
    <w:rsid w:val="00C80459"/>
    <w:rsid w:val="00C80976"/>
    <w:rsid w:val="00C810C0"/>
    <w:rsid w:val="00C9029E"/>
    <w:rsid w:val="00C90FD3"/>
    <w:rsid w:val="00C941A9"/>
    <w:rsid w:val="00CA1AE1"/>
    <w:rsid w:val="00CA1B32"/>
    <w:rsid w:val="00CA240B"/>
    <w:rsid w:val="00CB618C"/>
    <w:rsid w:val="00CB7E81"/>
    <w:rsid w:val="00CC2DBA"/>
    <w:rsid w:val="00CC32AD"/>
    <w:rsid w:val="00CC3475"/>
    <w:rsid w:val="00CC5D83"/>
    <w:rsid w:val="00CD65B6"/>
    <w:rsid w:val="00CD700B"/>
    <w:rsid w:val="00CD762D"/>
    <w:rsid w:val="00CE2017"/>
    <w:rsid w:val="00CE3B77"/>
    <w:rsid w:val="00CE4075"/>
    <w:rsid w:val="00CE456A"/>
    <w:rsid w:val="00CE6EB8"/>
    <w:rsid w:val="00CF05E5"/>
    <w:rsid w:val="00CF4E5F"/>
    <w:rsid w:val="00CF5295"/>
    <w:rsid w:val="00CF7D66"/>
    <w:rsid w:val="00D023D5"/>
    <w:rsid w:val="00D05C24"/>
    <w:rsid w:val="00D0608A"/>
    <w:rsid w:val="00D10C08"/>
    <w:rsid w:val="00D10D15"/>
    <w:rsid w:val="00D10DDF"/>
    <w:rsid w:val="00D15C9A"/>
    <w:rsid w:val="00D1773F"/>
    <w:rsid w:val="00D20500"/>
    <w:rsid w:val="00D212DD"/>
    <w:rsid w:val="00D27217"/>
    <w:rsid w:val="00D300E1"/>
    <w:rsid w:val="00D31245"/>
    <w:rsid w:val="00D326F8"/>
    <w:rsid w:val="00D35CC6"/>
    <w:rsid w:val="00D50988"/>
    <w:rsid w:val="00D53F80"/>
    <w:rsid w:val="00D54D86"/>
    <w:rsid w:val="00D6054A"/>
    <w:rsid w:val="00D6125E"/>
    <w:rsid w:val="00D63290"/>
    <w:rsid w:val="00D656EF"/>
    <w:rsid w:val="00D66B68"/>
    <w:rsid w:val="00D7047B"/>
    <w:rsid w:val="00D71C89"/>
    <w:rsid w:val="00D7651E"/>
    <w:rsid w:val="00D8281A"/>
    <w:rsid w:val="00D82DE3"/>
    <w:rsid w:val="00D84FF9"/>
    <w:rsid w:val="00D868F1"/>
    <w:rsid w:val="00D96BB4"/>
    <w:rsid w:val="00DA3502"/>
    <w:rsid w:val="00DA362E"/>
    <w:rsid w:val="00DA77BF"/>
    <w:rsid w:val="00DB351A"/>
    <w:rsid w:val="00DB4139"/>
    <w:rsid w:val="00DB464F"/>
    <w:rsid w:val="00DB5106"/>
    <w:rsid w:val="00DC00CC"/>
    <w:rsid w:val="00DC15C6"/>
    <w:rsid w:val="00DC4BD2"/>
    <w:rsid w:val="00DC5AFC"/>
    <w:rsid w:val="00DD0113"/>
    <w:rsid w:val="00DD23BD"/>
    <w:rsid w:val="00DD6BE4"/>
    <w:rsid w:val="00DD7C6D"/>
    <w:rsid w:val="00DE30D7"/>
    <w:rsid w:val="00DE5754"/>
    <w:rsid w:val="00DE5BD0"/>
    <w:rsid w:val="00DE7B8B"/>
    <w:rsid w:val="00DF3426"/>
    <w:rsid w:val="00DF60D8"/>
    <w:rsid w:val="00E00E20"/>
    <w:rsid w:val="00E02500"/>
    <w:rsid w:val="00E038A9"/>
    <w:rsid w:val="00E04982"/>
    <w:rsid w:val="00E13E2E"/>
    <w:rsid w:val="00E14371"/>
    <w:rsid w:val="00E15734"/>
    <w:rsid w:val="00E2015A"/>
    <w:rsid w:val="00E202D5"/>
    <w:rsid w:val="00E25BC8"/>
    <w:rsid w:val="00E264B6"/>
    <w:rsid w:val="00E27250"/>
    <w:rsid w:val="00E30F8F"/>
    <w:rsid w:val="00E31DEA"/>
    <w:rsid w:val="00E32529"/>
    <w:rsid w:val="00E33C40"/>
    <w:rsid w:val="00E34FF9"/>
    <w:rsid w:val="00E363AD"/>
    <w:rsid w:val="00E365EB"/>
    <w:rsid w:val="00E411E7"/>
    <w:rsid w:val="00E41D27"/>
    <w:rsid w:val="00E442F1"/>
    <w:rsid w:val="00E46426"/>
    <w:rsid w:val="00E46998"/>
    <w:rsid w:val="00E677F9"/>
    <w:rsid w:val="00E70AFA"/>
    <w:rsid w:val="00E72153"/>
    <w:rsid w:val="00E72BDA"/>
    <w:rsid w:val="00E81F72"/>
    <w:rsid w:val="00E823F4"/>
    <w:rsid w:val="00E86EBE"/>
    <w:rsid w:val="00E90193"/>
    <w:rsid w:val="00E924BE"/>
    <w:rsid w:val="00E945F4"/>
    <w:rsid w:val="00EA3E55"/>
    <w:rsid w:val="00EB10FB"/>
    <w:rsid w:val="00EB2A9B"/>
    <w:rsid w:val="00EB526D"/>
    <w:rsid w:val="00EC4126"/>
    <w:rsid w:val="00EC72EC"/>
    <w:rsid w:val="00EC76CF"/>
    <w:rsid w:val="00ED2090"/>
    <w:rsid w:val="00ED4887"/>
    <w:rsid w:val="00ED58F5"/>
    <w:rsid w:val="00EE2284"/>
    <w:rsid w:val="00EE2866"/>
    <w:rsid w:val="00EE666F"/>
    <w:rsid w:val="00EF3128"/>
    <w:rsid w:val="00EF47F8"/>
    <w:rsid w:val="00EF5502"/>
    <w:rsid w:val="00F007CE"/>
    <w:rsid w:val="00F0283E"/>
    <w:rsid w:val="00F046B5"/>
    <w:rsid w:val="00F12A1F"/>
    <w:rsid w:val="00F248D6"/>
    <w:rsid w:val="00F2731F"/>
    <w:rsid w:val="00F27586"/>
    <w:rsid w:val="00F278F7"/>
    <w:rsid w:val="00F31705"/>
    <w:rsid w:val="00F41595"/>
    <w:rsid w:val="00F43D82"/>
    <w:rsid w:val="00F46C2F"/>
    <w:rsid w:val="00F50AC5"/>
    <w:rsid w:val="00F55E02"/>
    <w:rsid w:val="00F56091"/>
    <w:rsid w:val="00F6358A"/>
    <w:rsid w:val="00F65C2C"/>
    <w:rsid w:val="00F70396"/>
    <w:rsid w:val="00F77993"/>
    <w:rsid w:val="00F840C2"/>
    <w:rsid w:val="00F8546E"/>
    <w:rsid w:val="00F862E0"/>
    <w:rsid w:val="00F87738"/>
    <w:rsid w:val="00FA2502"/>
    <w:rsid w:val="00FA268C"/>
    <w:rsid w:val="00FB0A87"/>
    <w:rsid w:val="00FB1752"/>
    <w:rsid w:val="00FB19D3"/>
    <w:rsid w:val="00FB40F1"/>
    <w:rsid w:val="00FB5C35"/>
    <w:rsid w:val="00FC05AF"/>
    <w:rsid w:val="00FC0C18"/>
    <w:rsid w:val="00FC1D9F"/>
    <w:rsid w:val="00FC5154"/>
    <w:rsid w:val="00FC7033"/>
    <w:rsid w:val="00FD2AD8"/>
    <w:rsid w:val="00FD4188"/>
    <w:rsid w:val="00FD6B74"/>
    <w:rsid w:val="00FD6D23"/>
    <w:rsid w:val="00FE3B81"/>
    <w:rsid w:val="00FE4449"/>
    <w:rsid w:val="00FE4ADB"/>
    <w:rsid w:val="00FF2C0B"/>
    <w:rsid w:val="00FF479A"/>
    <w:rsid w:val="00FF4BC6"/>
    <w:rsid w:val="0AA4F8B7"/>
    <w:rsid w:val="11D45512"/>
    <w:rsid w:val="121604F6"/>
    <w:rsid w:val="1C2B9B9B"/>
    <w:rsid w:val="1DAA543A"/>
    <w:rsid w:val="1DAAF0C0"/>
    <w:rsid w:val="1DEA6A66"/>
    <w:rsid w:val="23649935"/>
    <w:rsid w:val="240580E0"/>
    <w:rsid w:val="254EC3C8"/>
    <w:rsid w:val="27C4DA26"/>
    <w:rsid w:val="2896E346"/>
    <w:rsid w:val="29ACFF95"/>
    <w:rsid w:val="2C1F851E"/>
    <w:rsid w:val="43123097"/>
    <w:rsid w:val="493B9FA0"/>
    <w:rsid w:val="4A8FAF55"/>
    <w:rsid w:val="4BF3A465"/>
    <w:rsid w:val="4CAC448E"/>
    <w:rsid w:val="4D50850A"/>
    <w:rsid w:val="50D8F58A"/>
    <w:rsid w:val="5209138C"/>
    <w:rsid w:val="539BAB01"/>
    <w:rsid w:val="54C92EAB"/>
    <w:rsid w:val="5BEC40F8"/>
    <w:rsid w:val="5F91C62C"/>
    <w:rsid w:val="6144EA15"/>
    <w:rsid w:val="65C55BDB"/>
    <w:rsid w:val="65FCFB20"/>
    <w:rsid w:val="679C12DA"/>
    <w:rsid w:val="7188F43F"/>
    <w:rsid w:val="7608C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8FDA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8C9"/>
    <w:pPr>
      <w:tabs>
        <w:tab w:val="center" w:pos="4680"/>
        <w:tab w:val="right" w:pos="9360"/>
      </w:tabs>
    </w:pPr>
    <w:rPr>
      <w:lang w:val="x-none" w:eastAsia="x-none"/>
    </w:rPr>
  </w:style>
  <w:style w:type="character" w:customStyle="1" w:styleId="HeaderChar">
    <w:name w:val="Header Char"/>
    <w:link w:val="Header"/>
    <w:uiPriority w:val="99"/>
    <w:rsid w:val="002E68C9"/>
    <w:rPr>
      <w:sz w:val="22"/>
      <w:szCs w:val="22"/>
    </w:rPr>
  </w:style>
  <w:style w:type="paragraph" w:styleId="Footer">
    <w:name w:val="footer"/>
    <w:basedOn w:val="Normal"/>
    <w:link w:val="FooterChar"/>
    <w:uiPriority w:val="99"/>
    <w:unhideWhenUsed/>
    <w:rsid w:val="002E68C9"/>
    <w:pPr>
      <w:tabs>
        <w:tab w:val="center" w:pos="4680"/>
        <w:tab w:val="right" w:pos="9360"/>
      </w:tabs>
    </w:pPr>
    <w:rPr>
      <w:lang w:val="x-none" w:eastAsia="x-none"/>
    </w:rPr>
  </w:style>
  <w:style w:type="character" w:customStyle="1" w:styleId="FooterChar">
    <w:name w:val="Footer Char"/>
    <w:link w:val="Footer"/>
    <w:uiPriority w:val="99"/>
    <w:rsid w:val="002E68C9"/>
    <w:rPr>
      <w:sz w:val="22"/>
      <w:szCs w:val="22"/>
    </w:rPr>
  </w:style>
  <w:style w:type="paragraph" w:styleId="ListParagraph">
    <w:name w:val="List Paragraph"/>
    <w:basedOn w:val="Normal"/>
    <w:uiPriority w:val="34"/>
    <w:qFormat/>
    <w:rsid w:val="007E0981"/>
    <w:pPr>
      <w:ind w:left="720"/>
      <w:contextualSpacing/>
    </w:pPr>
    <w:rPr>
      <w:rFonts w:eastAsia="Calibri"/>
    </w:rPr>
  </w:style>
  <w:style w:type="table" w:styleId="TableGrid">
    <w:name w:val="Table Grid"/>
    <w:basedOn w:val="TableNormal"/>
    <w:uiPriority w:val="59"/>
    <w:rsid w:val="007E098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TEXT">
    <w:name w:val="BOLD TEXT"/>
    <w:basedOn w:val="TEXT"/>
    <w:link w:val="BOLDTEXTChar"/>
    <w:qFormat/>
    <w:rsid w:val="009A7D6E"/>
    <w:pPr>
      <w:tabs>
        <w:tab w:val="left" w:pos="1040"/>
      </w:tabs>
      <w:suppressAutoHyphens/>
      <w:textAlignment w:val="center"/>
    </w:pPr>
    <w:rPr>
      <w:rFonts w:eastAsia="Calibri"/>
      <w:b/>
      <w:bCs/>
      <w:color w:val="000000"/>
      <w:szCs w:val="18"/>
    </w:rPr>
  </w:style>
  <w:style w:type="character" w:customStyle="1" w:styleId="BOLDTEXTChar">
    <w:name w:val="BOLD TEXT Char"/>
    <w:link w:val="BOLDTEXT"/>
    <w:rsid w:val="009A7D6E"/>
    <w:rPr>
      <w:rFonts w:ascii="Arial" w:eastAsia="Calibri" w:hAnsi="Arial" w:cs="Arial"/>
      <w:b/>
      <w:bCs/>
      <w:color w:val="000000"/>
      <w:szCs w:val="18"/>
    </w:rPr>
  </w:style>
  <w:style w:type="paragraph" w:customStyle="1" w:styleId="TEXT">
    <w:name w:val="TEXT"/>
    <w:basedOn w:val="Normal"/>
    <w:link w:val="TEXTChar"/>
    <w:qFormat/>
    <w:rsid w:val="00BC481B"/>
    <w:pPr>
      <w:widowControl w:val="0"/>
      <w:autoSpaceDE w:val="0"/>
      <w:autoSpaceDN w:val="0"/>
      <w:adjustRightInd w:val="0"/>
      <w:spacing w:before="120" w:after="0" w:line="240" w:lineRule="auto"/>
      <w:ind w:right="-245"/>
    </w:pPr>
    <w:rPr>
      <w:rFonts w:ascii="Arial" w:hAnsi="Arial" w:cs="Arial"/>
      <w:sz w:val="20"/>
      <w:szCs w:val="20"/>
    </w:rPr>
  </w:style>
  <w:style w:type="paragraph" w:customStyle="1" w:styleId="BOLDBULLETS">
    <w:name w:val="BOLD BULLETS"/>
    <w:basedOn w:val="Normal"/>
    <w:link w:val="BOLDBULLETSChar"/>
    <w:qFormat/>
    <w:rsid w:val="009A7D6E"/>
    <w:pPr>
      <w:widowControl w:val="0"/>
      <w:autoSpaceDE w:val="0"/>
      <w:autoSpaceDN w:val="0"/>
      <w:adjustRightInd w:val="0"/>
      <w:spacing w:before="60" w:after="0" w:line="240" w:lineRule="auto"/>
      <w:ind w:left="360" w:right="-245" w:hanging="360"/>
      <w:contextualSpacing/>
    </w:pPr>
    <w:rPr>
      <w:rFonts w:ascii="Arial" w:hAnsi="Arial" w:cs="Arial"/>
      <w:b/>
      <w:sz w:val="20"/>
      <w:szCs w:val="20"/>
    </w:rPr>
  </w:style>
  <w:style w:type="character" w:customStyle="1" w:styleId="TEXTChar">
    <w:name w:val="TEXT Char"/>
    <w:basedOn w:val="DefaultParagraphFont"/>
    <w:link w:val="TEXT"/>
    <w:rsid w:val="00BC481B"/>
    <w:rPr>
      <w:rFonts w:ascii="Arial" w:hAnsi="Arial" w:cs="Arial"/>
    </w:rPr>
  </w:style>
  <w:style w:type="character" w:customStyle="1" w:styleId="BOLDBULLETSChar">
    <w:name w:val="BOLD BULLETS Char"/>
    <w:basedOn w:val="DefaultParagraphFont"/>
    <w:link w:val="BOLDBULLETS"/>
    <w:rsid w:val="009A7D6E"/>
    <w:rPr>
      <w:rFonts w:ascii="Arial" w:hAnsi="Arial" w:cs="Arial"/>
      <w:b/>
    </w:rPr>
  </w:style>
  <w:style w:type="character" w:styleId="CommentReference">
    <w:name w:val="annotation reference"/>
    <w:basedOn w:val="DefaultParagraphFont"/>
    <w:uiPriority w:val="99"/>
    <w:semiHidden/>
    <w:unhideWhenUsed/>
    <w:rsid w:val="00A31FDE"/>
    <w:rPr>
      <w:sz w:val="16"/>
      <w:szCs w:val="16"/>
    </w:rPr>
  </w:style>
  <w:style w:type="paragraph" w:styleId="CommentText">
    <w:name w:val="annotation text"/>
    <w:basedOn w:val="Normal"/>
    <w:link w:val="CommentTextChar"/>
    <w:uiPriority w:val="99"/>
    <w:unhideWhenUsed/>
    <w:rsid w:val="00A31FDE"/>
    <w:pPr>
      <w:spacing w:line="240" w:lineRule="auto"/>
    </w:pPr>
    <w:rPr>
      <w:sz w:val="20"/>
      <w:szCs w:val="20"/>
    </w:rPr>
  </w:style>
  <w:style w:type="character" w:customStyle="1" w:styleId="CommentTextChar">
    <w:name w:val="Comment Text Char"/>
    <w:basedOn w:val="DefaultParagraphFont"/>
    <w:link w:val="CommentText"/>
    <w:uiPriority w:val="99"/>
    <w:rsid w:val="00A31FDE"/>
  </w:style>
  <w:style w:type="paragraph" w:styleId="CommentSubject">
    <w:name w:val="annotation subject"/>
    <w:basedOn w:val="CommentText"/>
    <w:next w:val="CommentText"/>
    <w:link w:val="CommentSubjectChar"/>
    <w:uiPriority w:val="99"/>
    <w:semiHidden/>
    <w:unhideWhenUsed/>
    <w:rsid w:val="00A31FDE"/>
    <w:rPr>
      <w:b/>
      <w:bCs/>
    </w:rPr>
  </w:style>
  <w:style w:type="character" w:customStyle="1" w:styleId="CommentSubjectChar">
    <w:name w:val="Comment Subject Char"/>
    <w:basedOn w:val="CommentTextChar"/>
    <w:link w:val="CommentSubject"/>
    <w:uiPriority w:val="99"/>
    <w:semiHidden/>
    <w:rsid w:val="00A31FDE"/>
    <w:rPr>
      <w:b/>
      <w:bCs/>
    </w:rPr>
  </w:style>
  <w:style w:type="character" w:styleId="Hyperlink">
    <w:name w:val="Hyperlink"/>
    <w:basedOn w:val="DefaultParagraphFont"/>
    <w:uiPriority w:val="99"/>
    <w:unhideWhenUsed/>
    <w:rsid w:val="0011743F"/>
    <w:rPr>
      <w:color w:val="0563C1" w:themeColor="hyperlink"/>
      <w:u w:val="single"/>
    </w:rPr>
  </w:style>
  <w:style w:type="character" w:styleId="UnresolvedMention">
    <w:name w:val="Unresolved Mention"/>
    <w:basedOn w:val="DefaultParagraphFont"/>
    <w:uiPriority w:val="99"/>
    <w:semiHidden/>
    <w:unhideWhenUsed/>
    <w:rsid w:val="0011743F"/>
    <w:rPr>
      <w:color w:val="605E5C"/>
      <w:shd w:val="clear" w:color="auto" w:fill="E1DFDD"/>
    </w:rPr>
  </w:style>
  <w:style w:type="paragraph" w:styleId="Revision">
    <w:name w:val="Revision"/>
    <w:hidden/>
    <w:uiPriority w:val="99"/>
    <w:semiHidden/>
    <w:rsid w:val="001668C9"/>
    <w:rPr>
      <w:sz w:val="22"/>
      <w:szCs w:val="22"/>
    </w:rPr>
  </w:style>
  <w:style w:type="paragraph" w:styleId="NoSpacing">
    <w:name w:val="No Spacing"/>
    <w:uiPriority w:val="1"/>
    <w:qFormat/>
    <w:rsid w:val="0002164A"/>
    <w:rPr>
      <w:sz w:val="22"/>
      <w:szCs w:val="22"/>
    </w:rPr>
  </w:style>
  <w:style w:type="paragraph" w:styleId="NormalWeb">
    <w:name w:val="Normal (Web)"/>
    <w:basedOn w:val="Normal"/>
    <w:uiPriority w:val="99"/>
    <w:unhideWhenUsed/>
    <w:rsid w:val="00856935"/>
    <w:pPr>
      <w:spacing w:before="100" w:beforeAutospacing="1" w:after="100" w:afterAutospacing="1" w:line="240" w:lineRule="auto"/>
    </w:pPr>
    <w:rPr>
      <w:rFonts w:ascii="Times New Roman" w:hAnsi="Times New Roman"/>
      <w:sz w:val="24"/>
      <w:szCs w:val="24"/>
    </w:rPr>
  </w:style>
  <w:style w:type="paragraph" w:customStyle="1" w:styleId="first">
    <w:name w:val="first"/>
    <w:basedOn w:val="Normal"/>
    <w:rsid w:val="00DB4139"/>
    <w:pPr>
      <w:spacing w:before="100" w:beforeAutospacing="1" w:after="100" w:afterAutospacing="1" w:line="240" w:lineRule="auto"/>
    </w:pPr>
    <w:rPr>
      <w:rFonts w:ascii="Times New Roman" w:hAnsi="Times New Roman"/>
      <w:sz w:val="24"/>
      <w:szCs w:val="24"/>
    </w:rPr>
  </w:style>
  <w:style w:type="paragraph" w:customStyle="1" w:styleId="Default">
    <w:name w:val="Default"/>
    <w:rsid w:val="00DB4139"/>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145">
      <w:bodyDiv w:val="1"/>
      <w:marLeft w:val="0"/>
      <w:marRight w:val="0"/>
      <w:marTop w:val="0"/>
      <w:marBottom w:val="0"/>
      <w:divBdr>
        <w:top w:val="none" w:sz="0" w:space="0" w:color="auto"/>
        <w:left w:val="none" w:sz="0" w:space="0" w:color="auto"/>
        <w:bottom w:val="none" w:sz="0" w:space="0" w:color="auto"/>
        <w:right w:val="none" w:sz="0" w:space="0" w:color="auto"/>
      </w:divBdr>
    </w:div>
    <w:div w:id="87386729">
      <w:bodyDiv w:val="1"/>
      <w:marLeft w:val="0"/>
      <w:marRight w:val="0"/>
      <w:marTop w:val="0"/>
      <w:marBottom w:val="0"/>
      <w:divBdr>
        <w:top w:val="none" w:sz="0" w:space="0" w:color="auto"/>
        <w:left w:val="none" w:sz="0" w:space="0" w:color="auto"/>
        <w:bottom w:val="none" w:sz="0" w:space="0" w:color="auto"/>
        <w:right w:val="none" w:sz="0" w:space="0" w:color="auto"/>
      </w:divBdr>
    </w:div>
    <w:div w:id="176041915">
      <w:bodyDiv w:val="1"/>
      <w:marLeft w:val="0"/>
      <w:marRight w:val="0"/>
      <w:marTop w:val="0"/>
      <w:marBottom w:val="0"/>
      <w:divBdr>
        <w:top w:val="none" w:sz="0" w:space="0" w:color="auto"/>
        <w:left w:val="none" w:sz="0" w:space="0" w:color="auto"/>
        <w:bottom w:val="none" w:sz="0" w:space="0" w:color="auto"/>
        <w:right w:val="none" w:sz="0" w:space="0" w:color="auto"/>
      </w:divBdr>
    </w:div>
    <w:div w:id="225845520">
      <w:bodyDiv w:val="1"/>
      <w:marLeft w:val="0"/>
      <w:marRight w:val="0"/>
      <w:marTop w:val="0"/>
      <w:marBottom w:val="0"/>
      <w:divBdr>
        <w:top w:val="none" w:sz="0" w:space="0" w:color="auto"/>
        <w:left w:val="none" w:sz="0" w:space="0" w:color="auto"/>
        <w:bottom w:val="none" w:sz="0" w:space="0" w:color="auto"/>
        <w:right w:val="none" w:sz="0" w:space="0" w:color="auto"/>
      </w:divBdr>
    </w:div>
    <w:div w:id="319967430">
      <w:bodyDiv w:val="1"/>
      <w:marLeft w:val="0"/>
      <w:marRight w:val="0"/>
      <w:marTop w:val="0"/>
      <w:marBottom w:val="0"/>
      <w:divBdr>
        <w:top w:val="none" w:sz="0" w:space="0" w:color="auto"/>
        <w:left w:val="none" w:sz="0" w:space="0" w:color="auto"/>
        <w:bottom w:val="none" w:sz="0" w:space="0" w:color="auto"/>
        <w:right w:val="none" w:sz="0" w:space="0" w:color="auto"/>
      </w:divBdr>
    </w:div>
    <w:div w:id="347564143">
      <w:bodyDiv w:val="1"/>
      <w:marLeft w:val="0"/>
      <w:marRight w:val="0"/>
      <w:marTop w:val="0"/>
      <w:marBottom w:val="0"/>
      <w:divBdr>
        <w:top w:val="none" w:sz="0" w:space="0" w:color="auto"/>
        <w:left w:val="none" w:sz="0" w:space="0" w:color="auto"/>
        <w:bottom w:val="none" w:sz="0" w:space="0" w:color="auto"/>
        <w:right w:val="none" w:sz="0" w:space="0" w:color="auto"/>
      </w:divBdr>
    </w:div>
    <w:div w:id="532545704">
      <w:bodyDiv w:val="1"/>
      <w:marLeft w:val="0"/>
      <w:marRight w:val="0"/>
      <w:marTop w:val="0"/>
      <w:marBottom w:val="0"/>
      <w:divBdr>
        <w:top w:val="none" w:sz="0" w:space="0" w:color="auto"/>
        <w:left w:val="none" w:sz="0" w:space="0" w:color="auto"/>
        <w:bottom w:val="none" w:sz="0" w:space="0" w:color="auto"/>
        <w:right w:val="none" w:sz="0" w:space="0" w:color="auto"/>
      </w:divBdr>
    </w:div>
    <w:div w:id="591160834">
      <w:bodyDiv w:val="1"/>
      <w:marLeft w:val="0"/>
      <w:marRight w:val="0"/>
      <w:marTop w:val="0"/>
      <w:marBottom w:val="0"/>
      <w:divBdr>
        <w:top w:val="none" w:sz="0" w:space="0" w:color="auto"/>
        <w:left w:val="none" w:sz="0" w:space="0" w:color="auto"/>
        <w:bottom w:val="none" w:sz="0" w:space="0" w:color="auto"/>
        <w:right w:val="none" w:sz="0" w:space="0" w:color="auto"/>
      </w:divBdr>
    </w:div>
    <w:div w:id="656690983">
      <w:bodyDiv w:val="1"/>
      <w:marLeft w:val="0"/>
      <w:marRight w:val="0"/>
      <w:marTop w:val="0"/>
      <w:marBottom w:val="0"/>
      <w:divBdr>
        <w:top w:val="none" w:sz="0" w:space="0" w:color="auto"/>
        <w:left w:val="none" w:sz="0" w:space="0" w:color="auto"/>
        <w:bottom w:val="none" w:sz="0" w:space="0" w:color="auto"/>
        <w:right w:val="none" w:sz="0" w:space="0" w:color="auto"/>
      </w:divBdr>
    </w:div>
    <w:div w:id="675310075">
      <w:bodyDiv w:val="1"/>
      <w:marLeft w:val="0"/>
      <w:marRight w:val="0"/>
      <w:marTop w:val="0"/>
      <w:marBottom w:val="0"/>
      <w:divBdr>
        <w:top w:val="none" w:sz="0" w:space="0" w:color="auto"/>
        <w:left w:val="none" w:sz="0" w:space="0" w:color="auto"/>
        <w:bottom w:val="none" w:sz="0" w:space="0" w:color="auto"/>
        <w:right w:val="none" w:sz="0" w:space="0" w:color="auto"/>
      </w:divBdr>
    </w:div>
    <w:div w:id="846098893">
      <w:bodyDiv w:val="1"/>
      <w:marLeft w:val="0"/>
      <w:marRight w:val="0"/>
      <w:marTop w:val="0"/>
      <w:marBottom w:val="0"/>
      <w:divBdr>
        <w:top w:val="none" w:sz="0" w:space="0" w:color="auto"/>
        <w:left w:val="none" w:sz="0" w:space="0" w:color="auto"/>
        <w:bottom w:val="none" w:sz="0" w:space="0" w:color="auto"/>
        <w:right w:val="none" w:sz="0" w:space="0" w:color="auto"/>
      </w:divBdr>
    </w:div>
    <w:div w:id="960113950">
      <w:bodyDiv w:val="1"/>
      <w:marLeft w:val="0"/>
      <w:marRight w:val="0"/>
      <w:marTop w:val="0"/>
      <w:marBottom w:val="0"/>
      <w:divBdr>
        <w:top w:val="none" w:sz="0" w:space="0" w:color="auto"/>
        <w:left w:val="none" w:sz="0" w:space="0" w:color="auto"/>
        <w:bottom w:val="none" w:sz="0" w:space="0" w:color="auto"/>
        <w:right w:val="none" w:sz="0" w:space="0" w:color="auto"/>
      </w:divBdr>
    </w:div>
    <w:div w:id="975841672">
      <w:bodyDiv w:val="1"/>
      <w:marLeft w:val="0"/>
      <w:marRight w:val="0"/>
      <w:marTop w:val="0"/>
      <w:marBottom w:val="0"/>
      <w:divBdr>
        <w:top w:val="none" w:sz="0" w:space="0" w:color="auto"/>
        <w:left w:val="none" w:sz="0" w:space="0" w:color="auto"/>
        <w:bottom w:val="none" w:sz="0" w:space="0" w:color="auto"/>
        <w:right w:val="none" w:sz="0" w:space="0" w:color="auto"/>
      </w:divBdr>
    </w:div>
    <w:div w:id="1177769115">
      <w:bodyDiv w:val="1"/>
      <w:marLeft w:val="0"/>
      <w:marRight w:val="0"/>
      <w:marTop w:val="0"/>
      <w:marBottom w:val="0"/>
      <w:divBdr>
        <w:top w:val="none" w:sz="0" w:space="0" w:color="auto"/>
        <w:left w:val="none" w:sz="0" w:space="0" w:color="auto"/>
        <w:bottom w:val="none" w:sz="0" w:space="0" w:color="auto"/>
        <w:right w:val="none" w:sz="0" w:space="0" w:color="auto"/>
      </w:divBdr>
    </w:div>
    <w:div w:id="1260287362">
      <w:bodyDiv w:val="1"/>
      <w:marLeft w:val="0"/>
      <w:marRight w:val="0"/>
      <w:marTop w:val="0"/>
      <w:marBottom w:val="0"/>
      <w:divBdr>
        <w:top w:val="none" w:sz="0" w:space="0" w:color="auto"/>
        <w:left w:val="none" w:sz="0" w:space="0" w:color="auto"/>
        <w:bottom w:val="none" w:sz="0" w:space="0" w:color="auto"/>
        <w:right w:val="none" w:sz="0" w:space="0" w:color="auto"/>
      </w:divBdr>
    </w:div>
    <w:div w:id="1268199446">
      <w:bodyDiv w:val="1"/>
      <w:marLeft w:val="0"/>
      <w:marRight w:val="0"/>
      <w:marTop w:val="0"/>
      <w:marBottom w:val="0"/>
      <w:divBdr>
        <w:top w:val="none" w:sz="0" w:space="0" w:color="auto"/>
        <w:left w:val="none" w:sz="0" w:space="0" w:color="auto"/>
        <w:bottom w:val="none" w:sz="0" w:space="0" w:color="auto"/>
        <w:right w:val="none" w:sz="0" w:space="0" w:color="auto"/>
      </w:divBdr>
    </w:div>
    <w:div w:id="1334458455">
      <w:bodyDiv w:val="1"/>
      <w:marLeft w:val="0"/>
      <w:marRight w:val="0"/>
      <w:marTop w:val="0"/>
      <w:marBottom w:val="0"/>
      <w:divBdr>
        <w:top w:val="none" w:sz="0" w:space="0" w:color="auto"/>
        <w:left w:val="none" w:sz="0" w:space="0" w:color="auto"/>
        <w:bottom w:val="none" w:sz="0" w:space="0" w:color="auto"/>
        <w:right w:val="none" w:sz="0" w:space="0" w:color="auto"/>
      </w:divBdr>
    </w:div>
    <w:div w:id="1466466073">
      <w:bodyDiv w:val="1"/>
      <w:marLeft w:val="0"/>
      <w:marRight w:val="0"/>
      <w:marTop w:val="0"/>
      <w:marBottom w:val="0"/>
      <w:divBdr>
        <w:top w:val="none" w:sz="0" w:space="0" w:color="auto"/>
        <w:left w:val="none" w:sz="0" w:space="0" w:color="auto"/>
        <w:bottom w:val="none" w:sz="0" w:space="0" w:color="auto"/>
        <w:right w:val="none" w:sz="0" w:space="0" w:color="auto"/>
      </w:divBdr>
    </w:div>
    <w:div w:id="1661232614">
      <w:bodyDiv w:val="1"/>
      <w:marLeft w:val="0"/>
      <w:marRight w:val="0"/>
      <w:marTop w:val="0"/>
      <w:marBottom w:val="0"/>
      <w:divBdr>
        <w:top w:val="none" w:sz="0" w:space="0" w:color="auto"/>
        <w:left w:val="none" w:sz="0" w:space="0" w:color="auto"/>
        <w:bottom w:val="none" w:sz="0" w:space="0" w:color="auto"/>
        <w:right w:val="none" w:sz="0" w:space="0" w:color="auto"/>
      </w:divBdr>
    </w:div>
    <w:div w:id="1773623714">
      <w:bodyDiv w:val="1"/>
      <w:marLeft w:val="0"/>
      <w:marRight w:val="0"/>
      <w:marTop w:val="0"/>
      <w:marBottom w:val="0"/>
      <w:divBdr>
        <w:top w:val="none" w:sz="0" w:space="0" w:color="auto"/>
        <w:left w:val="none" w:sz="0" w:space="0" w:color="auto"/>
        <w:bottom w:val="none" w:sz="0" w:space="0" w:color="auto"/>
        <w:right w:val="none" w:sz="0" w:space="0" w:color="auto"/>
      </w:divBdr>
    </w:div>
    <w:div w:id="2041586201">
      <w:bodyDiv w:val="1"/>
      <w:marLeft w:val="0"/>
      <w:marRight w:val="0"/>
      <w:marTop w:val="0"/>
      <w:marBottom w:val="0"/>
      <w:divBdr>
        <w:top w:val="none" w:sz="0" w:space="0" w:color="auto"/>
        <w:left w:val="none" w:sz="0" w:space="0" w:color="auto"/>
        <w:bottom w:val="none" w:sz="0" w:space="0" w:color="auto"/>
        <w:right w:val="none" w:sz="0" w:space="0" w:color="auto"/>
      </w:divBdr>
    </w:div>
    <w:div w:id="2053192940">
      <w:bodyDiv w:val="1"/>
      <w:marLeft w:val="0"/>
      <w:marRight w:val="0"/>
      <w:marTop w:val="0"/>
      <w:marBottom w:val="0"/>
      <w:divBdr>
        <w:top w:val="none" w:sz="0" w:space="0" w:color="auto"/>
        <w:left w:val="none" w:sz="0" w:space="0" w:color="auto"/>
        <w:bottom w:val="none" w:sz="0" w:space="0" w:color="auto"/>
        <w:right w:val="none" w:sz="0" w:space="0" w:color="auto"/>
      </w:divBdr>
    </w:div>
    <w:div w:id="213386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uschhealth.com/Portals/25/Pdf/PI/Jublia-P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bliarx.com"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68382DF583D545A24D207DE8B7F4D2" ma:contentTypeVersion="15" ma:contentTypeDescription="Create a new document." ma:contentTypeScope="" ma:versionID="b7f22a93ec5295e9c83597a590228f18">
  <xsd:schema xmlns:xsd="http://www.w3.org/2001/XMLSchema" xmlns:xs="http://www.w3.org/2001/XMLSchema" xmlns:p="http://schemas.microsoft.com/office/2006/metadata/properties" xmlns:ns2="7e83348b-9ab3-40ee-83ea-2f887211303d" xmlns:ns3="39f9b76c-6590-46a0-b9c5-4fd12e63df70" targetNamespace="http://schemas.microsoft.com/office/2006/metadata/properties" ma:root="true" ma:fieldsID="1bd67dd95bf4b89a86f3721e7e921c2f" ns2:_="" ns3:_="">
    <xsd:import namespace="7e83348b-9ab3-40ee-83ea-2f887211303d"/>
    <xsd:import namespace="39f9b76c-6590-46a0-b9c5-4fd12e63df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FRM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3348b-9ab3-40ee-83ea-2f88721130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992c80-9c8d-482a-a00b-e598ff0c2600}" ma:internalName="TaxCatchAll" ma:showField="CatchAllData" ma:web="7e83348b-9ab3-40ee-83ea-2f887211303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f9b76c-6590-46a0-b9c5-4fd12e63df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3c6777-696e-4a38-9210-9a00caaaaf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FRMDescription" ma:index="22" nillable="true" ma:displayName="FRM Description" ma:format="Dropdown" ma:internalName="FRM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f9b76c-6590-46a0-b9c5-4fd12e63df70">
      <Terms xmlns="http://schemas.microsoft.com/office/infopath/2007/PartnerControls"/>
    </lcf76f155ced4ddcb4097134ff3c332f>
    <TaxCatchAll xmlns="7e83348b-9ab3-40ee-83ea-2f887211303d" xsi:nil="true"/>
    <FRMDescription xmlns="39f9b76c-6590-46a0-b9c5-4fd12e63df70" xsi:nil="true"/>
  </documentManagement>
</p:properties>
</file>

<file path=customXml/itemProps1.xml><?xml version="1.0" encoding="utf-8"?>
<ds:datastoreItem xmlns:ds="http://schemas.openxmlformats.org/officeDocument/2006/customXml" ds:itemID="{4BFB0366-174D-4D82-8DFF-D6DBD55AE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3348b-9ab3-40ee-83ea-2f887211303d"/>
    <ds:schemaRef ds:uri="39f9b76c-6590-46a0-b9c5-4fd12e63d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5DF26-72AB-4FBC-AD1E-4E6E01920236}">
  <ds:schemaRefs>
    <ds:schemaRef ds:uri="http://schemas.microsoft.com/sharepoint/v3/contenttype/forms"/>
  </ds:schemaRefs>
</ds:datastoreItem>
</file>

<file path=customXml/itemProps3.xml><?xml version="1.0" encoding="utf-8"?>
<ds:datastoreItem xmlns:ds="http://schemas.openxmlformats.org/officeDocument/2006/customXml" ds:itemID="{ED7EFC85-DACA-4AD7-B42E-A9B2EFE1E572}">
  <ds:schemaRefs>
    <ds:schemaRef ds:uri="http://schemas.microsoft.com/office/2006/metadata/properties"/>
    <ds:schemaRef ds:uri="http://schemas.microsoft.com/office/infopath/2007/PartnerControls"/>
    <ds:schemaRef ds:uri="39f9b76c-6590-46a0-b9c5-4fd12e63df70"/>
    <ds:schemaRef ds:uri="7e83348b-9ab3-40ee-83ea-2f887211303d"/>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8999</Characters>
  <Application>Microsoft Office Word</Application>
  <DocSecurity>0</DocSecurity>
  <Lines>209</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10468</CharactersWithSpaces>
  <SharedDoc>false</SharedDoc>
  <HLinks>
    <vt:vector size="18" baseType="variant">
      <vt:variant>
        <vt:i4>2949242</vt:i4>
      </vt:variant>
      <vt:variant>
        <vt:i4>6</vt:i4>
      </vt:variant>
      <vt:variant>
        <vt:i4>0</vt:i4>
      </vt:variant>
      <vt:variant>
        <vt:i4>5</vt:i4>
      </vt:variant>
      <vt:variant>
        <vt:lpwstr>https://www.cabtreo.com/globalassets/bhc/pi/cabtreo-pi.pdf</vt:lpwstr>
      </vt:variant>
      <vt:variant>
        <vt:lpwstr/>
      </vt:variant>
      <vt:variant>
        <vt:i4>2949242</vt:i4>
      </vt:variant>
      <vt:variant>
        <vt:i4>3</vt:i4>
      </vt:variant>
      <vt:variant>
        <vt:i4>0</vt:i4>
      </vt:variant>
      <vt:variant>
        <vt:i4>5</vt:i4>
      </vt:variant>
      <vt:variant>
        <vt:lpwstr>https://www.cabtreo.com/globalassets/bhc/pi/cabtreo-pi.pdf</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2025-08-12T12:47:00Z</dcterms:created>
  <dcterms:modified xsi:type="dcterms:W3CDTF">2025-08-20T17:44:00Z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0x0101006068382DF583D545A24D207DE8B7F4D2</vt:lpwstr>
  </property>
</Properties>
</file>